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45" w:rsidRPr="00172283" w:rsidRDefault="000F5445" w:rsidP="004570B8">
      <w:pPr>
        <w:tabs>
          <w:tab w:val="center" w:pos="6480"/>
        </w:tabs>
        <w:spacing w:after="240" w:line="276" w:lineRule="auto"/>
        <w:jc w:val="both"/>
        <w:rPr>
          <w:sz w:val="26"/>
          <w:szCs w:val="26"/>
        </w:rPr>
      </w:pPr>
      <w:r w:rsidRPr="00172283">
        <w:rPr>
          <w:sz w:val="26"/>
          <w:szCs w:val="26"/>
        </w:rPr>
        <w:t>Bệnh viện Nhi Đồng 2</w:t>
      </w:r>
      <w:r w:rsidRPr="00172283">
        <w:rPr>
          <w:sz w:val="26"/>
          <w:szCs w:val="26"/>
        </w:rPr>
        <w:tab/>
        <w:t xml:space="preserve">CỘNG HÒA XÃ HỘI CHỦ NGHĨA VIỆT </w:t>
      </w:r>
      <w:smartTag w:uri="urn:schemas-microsoft-com:office:smarttags" w:element="country-region">
        <w:smartTag w:uri="urn:schemas-microsoft-com:office:smarttags" w:element="place">
          <w:r w:rsidRPr="00172283">
            <w:rPr>
              <w:sz w:val="26"/>
              <w:szCs w:val="26"/>
            </w:rPr>
            <w:t>NAM</w:t>
          </w:r>
        </w:smartTag>
      </w:smartTag>
    </w:p>
    <w:p w:rsidR="000F5445" w:rsidRPr="00172283" w:rsidRDefault="000F5445" w:rsidP="004570B8">
      <w:pPr>
        <w:tabs>
          <w:tab w:val="center" w:pos="1080"/>
          <w:tab w:val="center" w:pos="6480"/>
        </w:tabs>
        <w:spacing w:after="240" w:line="276" w:lineRule="auto"/>
        <w:jc w:val="both"/>
        <w:rPr>
          <w:sz w:val="26"/>
          <w:szCs w:val="26"/>
        </w:rPr>
      </w:pPr>
      <w:r w:rsidRPr="00172283">
        <w:rPr>
          <w:sz w:val="26"/>
          <w:szCs w:val="26"/>
        </w:rPr>
        <w:tab/>
        <w:t>Khoa Dược</w:t>
      </w:r>
      <w:r w:rsidRPr="00172283">
        <w:rPr>
          <w:sz w:val="26"/>
          <w:szCs w:val="26"/>
        </w:rPr>
        <w:tab/>
        <w:t>Độc Lập – Tự Do – Hạnh Phúc</w:t>
      </w:r>
    </w:p>
    <w:p w:rsidR="000F5445" w:rsidRPr="00172283" w:rsidRDefault="000F5445" w:rsidP="004570B8">
      <w:pPr>
        <w:spacing w:after="240" w:line="276" w:lineRule="auto"/>
        <w:jc w:val="both"/>
        <w:rPr>
          <w:sz w:val="26"/>
          <w:szCs w:val="26"/>
        </w:rPr>
      </w:pPr>
      <w:r w:rsidRPr="00172283">
        <w:rPr>
          <w:sz w:val="26"/>
          <w:szCs w:val="26"/>
        </w:rPr>
        <w:t xml:space="preserve">Đơn vị thông tin thuốc                                                            </w:t>
      </w:r>
      <w:r w:rsidRPr="00172283">
        <w:rPr>
          <w:sz w:val="26"/>
          <w:szCs w:val="26"/>
        </w:rPr>
        <w:sym w:font="Wingdings 2" w:char="F061"/>
      </w:r>
      <w:r w:rsidRPr="00172283">
        <w:rPr>
          <w:sz w:val="26"/>
          <w:szCs w:val="26"/>
        </w:rPr>
        <w:sym w:font="Wingdings 2" w:char="F062"/>
      </w:r>
    </w:p>
    <w:p w:rsidR="000F5445" w:rsidRPr="00172283" w:rsidRDefault="000F5445" w:rsidP="004570B8">
      <w:pPr>
        <w:spacing w:after="240" w:line="276" w:lineRule="auto"/>
        <w:jc w:val="both"/>
        <w:rPr>
          <w:sz w:val="26"/>
          <w:szCs w:val="26"/>
        </w:rPr>
      </w:pPr>
      <w:r>
        <w:rPr>
          <w:noProof/>
          <w:sz w:val="26"/>
          <w:szCs w:val="26"/>
        </w:rPr>
        <w:drawing>
          <wp:anchor distT="0" distB="0" distL="114300" distR="114300" simplePos="0" relativeHeight="251660288" behindDoc="1" locked="0" layoutInCell="1" allowOverlap="1">
            <wp:simplePos x="0" y="0"/>
            <wp:positionH relativeFrom="column">
              <wp:posOffset>565785</wp:posOffset>
            </wp:positionH>
            <wp:positionV relativeFrom="paragraph">
              <wp:posOffset>48260</wp:posOffset>
            </wp:positionV>
            <wp:extent cx="828040" cy="854710"/>
            <wp:effectExtent l="19050" t="0" r="0" b="0"/>
            <wp:wrapTight wrapText="bothSides">
              <wp:wrapPolygon edited="0">
                <wp:start x="12423" y="0"/>
                <wp:lineTo x="2485" y="1926"/>
                <wp:lineTo x="-497" y="3851"/>
                <wp:lineTo x="-497" y="7703"/>
                <wp:lineTo x="3479" y="15406"/>
                <wp:lineTo x="3479" y="18294"/>
                <wp:lineTo x="5466" y="21183"/>
                <wp:lineTo x="7454" y="21183"/>
                <wp:lineTo x="10436" y="21183"/>
                <wp:lineTo x="11926" y="21183"/>
                <wp:lineTo x="19380" y="16368"/>
                <wp:lineTo x="20871" y="15406"/>
                <wp:lineTo x="21368" y="12999"/>
                <wp:lineTo x="21368" y="7221"/>
                <wp:lineTo x="14411" y="0"/>
                <wp:lineTo x="12423" y="0"/>
              </wp:wrapPolygon>
            </wp:wrapTight>
            <wp:docPr id="2" name="Picture 2" descr="j018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86002"/>
                    <pic:cNvPicPr>
                      <a:picLocks noChangeAspect="1" noChangeArrowheads="1"/>
                    </pic:cNvPicPr>
                  </pic:nvPicPr>
                  <pic:blipFill>
                    <a:blip r:embed="rId8" cstate="print"/>
                    <a:srcRect/>
                    <a:stretch>
                      <a:fillRect/>
                    </a:stretch>
                  </pic:blipFill>
                  <pic:spPr bwMode="auto">
                    <a:xfrm>
                      <a:off x="0" y="0"/>
                      <a:ext cx="828040" cy="854710"/>
                    </a:xfrm>
                    <a:prstGeom prst="rect">
                      <a:avLst/>
                    </a:prstGeom>
                    <a:noFill/>
                    <a:ln w="9525">
                      <a:noFill/>
                      <a:miter lim="800000"/>
                      <a:headEnd/>
                      <a:tailEnd/>
                    </a:ln>
                  </pic:spPr>
                </pic:pic>
              </a:graphicData>
            </a:graphic>
          </wp:anchor>
        </w:drawing>
      </w:r>
    </w:p>
    <w:p w:rsidR="000F5445" w:rsidRPr="00172283" w:rsidRDefault="000F5445" w:rsidP="004570B8">
      <w:pPr>
        <w:spacing w:after="240" w:line="276" w:lineRule="auto"/>
        <w:rPr>
          <w:b/>
          <w:shadow/>
          <w:sz w:val="36"/>
          <w:szCs w:val="36"/>
        </w:rPr>
      </w:pPr>
      <w:r>
        <w:rPr>
          <w:b/>
          <w:shadow/>
          <w:sz w:val="36"/>
          <w:szCs w:val="36"/>
        </w:rPr>
        <w:t>THÔNG TIN THUỐC THÁNG 0</w:t>
      </w:r>
      <w:r w:rsidR="00864BD9">
        <w:rPr>
          <w:b/>
          <w:shadow/>
          <w:sz w:val="36"/>
          <w:szCs w:val="36"/>
        </w:rPr>
        <w:t>5</w:t>
      </w:r>
      <w:r>
        <w:rPr>
          <w:b/>
          <w:shadow/>
          <w:sz w:val="36"/>
          <w:szCs w:val="36"/>
        </w:rPr>
        <w:t>/2014</w:t>
      </w:r>
    </w:p>
    <w:p w:rsidR="000F5445" w:rsidRPr="00172283" w:rsidRDefault="000F5445" w:rsidP="004570B8">
      <w:pPr>
        <w:spacing w:after="240" w:line="276" w:lineRule="auto"/>
        <w:jc w:val="both"/>
        <w:rPr>
          <w:b/>
          <w:sz w:val="26"/>
          <w:szCs w:val="26"/>
        </w:rPr>
      </w:pPr>
    </w:p>
    <w:p w:rsidR="000F5445" w:rsidRPr="00172283" w:rsidRDefault="000F5445" w:rsidP="004570B8">
      <w:pPr>
        <w:tabs>
          <w:tab w:val="left" w:pos="2430"/>
          <w:tab w:val="left" w:pos="4320"/>
        </w:tabs>
        <w:spacing w:after="240" w:line="276" w:lineRule="auto"/>
        <w:ind w:right="-29"/>
        <w:jc w:val="both"/>
        <w:rPr>
          <w:b/>
          <w:sz w:val="26"/>
          <w:szCs w:val="26"/>
        </w:rPr>
      </w:pPr>
      <w:r w:rsidRPr="00172283">
        <w:rPr>
          <w:b/>
          <w:sz w:val="26"/>
          <w:szCs w:val="26"/>
        </w:rPr>
        <w:tab/>
        <w:t>Người thực hiện:</w:t>
      </w:r>
      <w:r w:rsidRPr="00172283">
        <w:rPr>
          <w:b/>
          <w:sz w:val="26"/>
          <w:szCs w:val="26"/>
        </w:rPr>
        <w:tab/>
        <w:t xml:space="preserve"> DS. </w:t>
      </w:r>
      <w:r>
        <w:rPr>
          <w:b/>
          <w:sz w:val="26"/>
          <w:szCs w:val="26"/>
        </w:rPr>
        <w:t>HUỲNH XUÂN LỘC</w:t>
      </w:r>
    </w:p>
    <w:p w:rsidR="00996848" w:rsidRPr="00996848" w:rsidRDefault="000F5445" w:rsidP="00F2005E">
      <w:pPr>
        <w:tabs>
          <w:tab w:val="left" w:pos="2430"/>
          <w:tab w:val="left" w:pos="4320"/>
        </w:tabs>
        <w:spacing w:before="240" w:after="240" w:line="276" w:lineRule="auto"/>
        <w:ind w:right="-29"/>
        <w:jc w:val="both"/>
        <w:rPr>
          <w:sz w:val="26"/>
          <w:szCs w:val="26"/>
          <w:lang w:val="fr-FR"/>
        </w:rPr>
      </w:pPr>
      <w:r w:rsidRPr="00172283">
        <w:rPr>
          <w:b/>
          <w:sz w:val="26"/>
          <w:szCs w:val="26"/>
        </w:rPr>
        <w:t xml:space="preserve">                                                                   </w:t>
      </w:r>
      <w:r w:rsidRPr="00172283">
        <w:rPr>
          <w:sz w:val="26"/>
          <w:szCs w:val="26"/>
          <w:lang w:val="fr-FR"/>
        </w:rPr>
        <w:t xml:space="preserve">Tổng số trang: </w:t>
      </w:r>
      <w:r w:rsidR="00996848">
        <w:rPr>
          <w:sz w:val="26"/>
          <w:szCs w:val="26"/>
          <w:lang w:val="fr-FR"/>
        </w:rPr>
        <w:t>6</w:t>
      </w:r>
    </w:p>
    <w:p w:rsidR="000F5445" w:rsidRDefault="000F5445" w:rsidP="00F2005E">
      <w:pPr>
        <w:numPr>
          <w:ilvl w:val="0"/>
          <w:numId w:val="1"/>
        </w:numPr>
        <w:tabs>
          <w:tab w:val="clear" w:pos="720"/>
          <w:tab w:val="num" w:pos="540"/>
          <w:tab w:val="left" w:pos="6650"/>
        </w:tabs>
        <w:spacing w:before="240" w:after="240" w:line="276" w:lineRule="auto"/>
        <w:ind w:left="540" w:hanging="540"/>
        <w:jc w:val="both"/>
        <w:rPr>
          <w:b/>
          <w:sz w:val="26"/>
          <w:szCs w:val="26"/>
          <w:u w:val="single"/>
        </w:rPr>
      </w:pPr>
      <w:r w:rsidRPr="00FA3101">
        <w:rPr>
          <w:b/>
          <w:sz w:val="26"/>
          <w:szCs w:val="26"/>
          <w:u w:val="single"/>
        </w:rPr>
        <w:t>THÔNG TIN NGẮN ĐIỂM BÁO</w:t>
      </w:r>
      <w:bookmarkStart w:id="0" w:name="OLE_LINK1"/>
      <w:bookmarkStart w:id="1" w:name="OLE_LINK2"/>
    </w:p>
    <w:p w:rsidR="00F2005E" w:rsidRPr="00F2005E" w:rsidRDefault="00F2005E" w:rsidP="0020362B">
      <w:pPr>
        <w:pStyle w:val="ListParagraph"/>
        <w:numPr>
          <w:ilvl w:val="1"/>
          <w:numId w:val="1"/>
        </w:numPr>
        <w:tabs>
          <w:tab w:val="clear" w:pos="360"/>
        </w:tabs>
        <w:spacing w:before="240" w:after="240" w:line="360" w:lineRule="auto"/>
        <w:ind w:left="540"/>
        <w:jc w:val="both"/>
        <w:rPr>
          <w:b/>
          <w:sz w:val="26"/>
          <w:szCs w:val="26"/>
        </w:rPr>
      </w:pPr>
      <w:r w:rsidRPr="00F2005E">
        <w:rPr>
          <w:b/>
          <w:sz w:val="26"/>
          <w:szCs w:val="26"/>
        </w:rPr>
        <w:t>Levofloxacin không có bằng chứng gây tổn thương sụn khớp ở trẻ em</w:t>
      </w:r>
    </w:p>
    <w:p w:rsidR="00F2005E" w:rsidRPr="00F2005E" w:rsidRDefault="00F2005E" w:rsidP="0020362B">
      <w:pPr>
        <w:pStyle w:val="ListParagraph"/>
        <w:numPr>
          <w:ilvl w:val="1"/>
          <w:numId w:val="1"/>
        </w:numPr>
        <w:tabs>
          <w:tab w:val="clear" w:pos="360"/>
        </w:tabs>
        <w:spacing w:before="240" w:after="240" w:line="360" w:lineRule="auto"/>
        <w:ind w:left="540"/>
        <w:jc w:val="both"/>
        <w:rPr>
          <w:b/>
          <w:sz w:val="26"/>
          <w:szCs w:val="26"/>
        </w:rPr>
      </w:pPr>
      <w:r w:rsidRPr="00F2005E">
        <w:rPr>
          <w:b/>
          <w:sz w:val="26"/>
          <w:szCs w:val="26"/>
        </w:rPr>
        <w:t>Nguy cơ  gặp phải các vấn đề hô hấp</w:t>
      </w:r>
      <w:r w:rsidR="0020362B">
        <w:rPr>
          <w:b/>
          <w:sz w:val="26"/>
          <w:szCs w:val="26"/>
        </w:rPr>
        <w:t xml:space="preserve"> ở</w:t>
      </w:r>
      <w:r w:rsidRPr="00F2005E">
        <w:rPr>
          <w:b/>
          <w:sz w:val="26"/>
          <w:szCs w:val="26"/>
        </w:rPr>
        <w:t xml:space="preserve"> trẻ mới sinh của các bà mẹ thừa cân </w:t>
      </w:r>
    </w:p>
    <w:bookmarkEnd w:id="0"/>
    <w:bookmarkEnd w:id="1"/>
    <w:p w:rsidR="000F5445" w:rsidRPr="00FA3101" w:rsidRDefault="000F5445" w:rsidP="00F2005E">
      <w:pPr>
        <w:numPr>
          <w:ilvl w:val="0"/>
          <w:numId w:val="1"/>
        </w:numPr>
        <w:tabs>
          <w:tab w:val="clear" w:pos="720"/>
          <w:tab w:val="num" w:pos="540"/>
          <w:tab w:val="left" w:pos="6650"/>
        </w:tabs>
        <w:spacing w:before="240" w:after="240" w:line="276" w:lineRule="auto"/>
        <w:ind w:left="540" w:hanging="540"/>
        <w:jc w:val="both"/>
        <w:rPr>
          <w:b/>
          <w:sz w:val="26"/>
          <w:szCs w:val="26"/>
          <w:u w:val="single"/>
        </w:rPr>
      </w:pPr>
      <w:r w:rsidRPr="00FA3101">
        <w:rPr>
          <w:b/>
          <w:sz w:val="26"/>
          <w:szCs w:val="26"/>
          <w:u w:val="single"/>
        </w:rPr>
        <w:t>THUỐC ĐÌNH CHỈ LƯU HÀNH – THUỐC RÚT SỐ ĐĂNG KÝ</w:t>
      </w:r>
    </w:p>
    <w:p w:rsidR="000F5445" w:rsidRPr="00172283" w:rsidRDefault="000F5445" w:rsidP="00F2005E">
      <w:pPr>
        <w:tabs>
          <w:tab w:val="right" w:pos="8640"/>
        </w:tabs>
        <w:spacing w:before="240" w:after="240" w:line="276" w:lineRule="auto"/>
        <w:jc w:val="both"/>
        <w:outlineLvl w:val="0"/>
        <w:rPr>
          <w:sz w:val="26"/>
          <w:szCs w:val="26"/>
        </w:rPr>
      </w:pPr>
      <w:r w:rsidRPr="00172283">
        <w:rPr>
          <w:sz w:val="26"/>
          <w:szCs w:val="26"/>
        </w:rPr>
        <w:tab/>
      </w:r>
    </w:p>
    <w:p w:rsidR="000F5445" w:rsidRPr="00172283" w:rsidRDefault="00FA3101" w:rsidP="00F2005E">
      <w:pPr>
        <w:tabs>
          <w:tab w:val="right" w:pos="8640"/>
        </w:tabs>
        <w:spacing w:before="240" w:after="240" w:line="276" w:lineRule="auto"/>
        <w:jc w:val="both"/>
        <w:outlineLvl w:val="0"/>
        <w:rPr>
          <w:b/>
          <w:sz w:val="26"/>
          <w:szCs w:val="26"/>
        </w:rPr>
      </w:pPr>
      <w:r>
        <w:rPr>
          <w:b/>
          <w:sz w:val="26"/>
          <w:szCs w:val="26"/>
        </w:rPr>
        <w:tab/>
      </w:r>
      <w:r w:rsidR="000F5445" w:rsidRPr="00172283">
        <w:rPr>
          <w:b/>
          <w:sz w:val="26"/>
          <w:szCs w:val="26"/>
        </w:rPr>
        <w:t>Hội Đồng Thuốc và Điều Trị</w:t>
      </w:r>
    </w:p>
    <w:p w:rsidR="00676F0E" w:rsidRDefault="00676F0E" w:rsidP="00F2005E">
      <w:pPr>
        <w:spacing w:before="240" w:after="240" w:line="276" w:lineRule="auto"/>
        <w:jc w:val="both"/>
      </w:pPr>
    </w:p>
    <w:p w:rsidR="000F5445" w:rsidRDefault="000F5445" w:rsidP="004570B8">
      <w:pPr>
        <w:spacing w:after="240" w:line="276" w:lineRule="auto"/>
        <w:jc w:val="both"/>
      </w:pPr>
    </w:p>
    <w:p w:rsidR="000F5445" w:rsidRDefault="000F5445" w:rsidP="004570B8">
      <w:pPr>
        <w:spacing w:after="240" w:line="276" w:lineRule="auto"/>
        <w:jc w:val="both"/>
      </w:pPr>
    </w:p>
    <w:p w:rsidR="000F5445" w:rsidRDefault="000F5445" w:rsidP="004570B8">
      <w:pPr>
        <w:spacing w:after="240" w:line="276" w:lineRule="auto"/>
        <w:jc w:val="both"/>
      </w:pPr>
    </w:p>
    <w:p w:rsidR="000F5445" w:rsidRDefault="000F5445" w:rsidP="004570B8">
      <w:pPr>
        <w:spacing w:after="240" w:line="276" w:lineRule="auto"/>
        <w:jc w:val="both"/>
      </w:pPr>
    </w:p>
    <w:p w:rsidR="000F5445" w:rsidRDefault="000F5445" w:rsidP="004570B8">
      <w:pPr>
        <w:spacing w:after="240" w:line="276" w:lineRule="auto"/>
        <w:jc w:val="both"/>
      </w:pPr>
    </w:p>
    <w:p w:rsidR="00FA3101" w:rsidRDefault="00FA3101" w:rsidP="004570B8">
      <w:pPr>
        <w:spacing w:after="240" w:line="276" w:lineRule="auto"/>
        <w:jc w:val="both"/>
      </w:pPr>
    </w:p>
    <w:p w:rsidR="00864BD9" w:rsidRDefault="00864BD9" w:rsidP="004570B8">
      <w:pPr>
        <w:spacing w:after="240" w:line="276" w:lineRule="auto"/>
        <w:jc w:val="both"/>
      </w:pPr>
    </w:p>
    <w:p w:rsidR="00FB35A4" w:rsidRDefault="00FB35A4" w:rsidP="004570B8">
      <w:pPr>
        <w:spacing w:after="240" w:line="276" w:lineRule="auto"/>
        <w:jc w:val="both"/>
      </w:pPr>
    </w:p>
    <w:p w:rsidR="000F5445" w:rsidRDefault="000F5445" w:rsidP="004570B8">
      <w:pPr>
        <w:pStyle w:val="ListParagraph"/>
        <w:numPr>
          <w:ilvl w:val="0"/>
          <w:numId w:val="3"/>
        </w:numPr>
        <w:tabs>
          <w:tab w:val="left" w:pos="6650"/>
        </w:tabs>
        <w:spacing w:line="276" w:lineRule="auto"/>
        <w:ind w:left="540" w:hanging="540"/>
        <w:jc w:val="center"/>
        <w:rPr>
          <w:b/>
          <w:sz w:val="28"/>
          <w:szCs w:val="28"/>
          <w:u w:val="single"/>
        </w:rPr>
      </w:pPr>
      <w:r w:rsidRPr="004570B8">
        <w:rPr>
          <w:b/>
          <w:sz w:val="28"/>
          <w:szCs w:val="28"/>
          <w:u w:val="single"/>
        </w:rPr>
        <w:lastRenderedPageBreak/>
        <w:t>THÔNG TIN NGẮN ĐIỂM BÁO</w:t>
      </w:r>
    </w:p>
    <w:p w:rsidR="00864BD9" w:rsidRPr="00864BD9" w:rsidRDefault="00864BD9" w:rsidP="00864BD9">
      <w:pPr>
        <w:tabs>
          <w:tab w:val="left" w:pos="6650"/>
        </w:tabs>
        <w:spacing w:line="276" w:lineRule="auto"/>
        <w:jc w:val="center"/>
        <w:rPr>
          <w:b/>
          <w:sz w:val="28"/>
          <w:szCs w:val="28"/>
          <w:u w:val="single"/>
        </w:rPr>
      </w:pPr>
    </w:p>
    <w:p w:rsidR="00864BD9" w:rsidRPr="00864BD9" w:rsidRDefault="00864BD9" w:rsidP="00864BD9">
      <w:pPr>
        <w:pStyle w:val="ListParagraph"/>
        <w:numPr>
          <w:ilvl w:val="1"/>
          <w:numId w:val="1"/>
        </w:numPr>
        <w:tabs>
          <w:tab w:val="clear" w:pos="360"/>
        </w:tabs>
        <w:spacing w:after="240" w:line="276" w:lineRule="auto"/>
        <w:ind w:left="0"/>
        <w:jc w:val="both"/>
        <w:rPr>
          <w:b/>
          <w:sz w:val="26"/>
          <w:szCs w:val="26"/>
          <w:u w:val="single"/>
        </w:rPr>
      </w:pPr>
      <w:r w:rsidRPr="00864BD9">
        <w:rPr>
          <w:b/>
          <w:sz w:val="26"/>
          <w:szCs w:val="26"/>
          <w:u w:val="single"/>
        </w:rPr>
        <w:t>Levofloxacin không có bằng chứng gây tổn thương sụn khớp ở trẻ em</w:t>
      </w:r>
    </w:p>
    <w:p w:rsidR="00864BD9" w:rsidRPr="00864BD9" w:rsidRDefault="00864BD9" w:rsidP="00864BD9">
      <w:pPr>
        <w:spacing w:after="240" w:line="276" w:lineRule="auto"/>
        <w:jc w:val="both"/>
        <w:rPr>
          <w:sz w:val="26"/>
          <w:szCs w:val="26"/>
        </w:rPr>
      </w:pPr>
      <w:r w:rsidRPr="00864BD9">
        <w:rPr>
          <w:sz w:val="26"/>
          <w:szCs w:val="26"/>
        </w:rPr>
        <w:t>Levofloxacin, mô</w:t>
      </w:r>
      <w:r w:rsidRPr="00864BD9">
        <w:rPr>
          <w:sz w:val="26"/>
          <w:szCs w:val="26"/>
          <w:lang w:val="vi-VN"/>
        </w:rPr>
        <w:t>̣t</w:t>
      </w:r>
      <w:r w:rsidRPr="00864BD9">
        <w:rPr>
          <w:sz w:val="26"/>
          <w:szCs w:val="26"/>
        </w:rPr>
        <w:t xml:space="preserve"> kháng sinh nhóm fluoroquinolon, cho thấy không có tác dụng phụ liên quan đến tổn thương sụn khớp trên trẻ em. Kết quả này được đúc kết từ một nghiên cứu trong đó theo dõi và đánh giá các trẻ trong vòng 5 năm sau khi được điều trị bằng levofloxacin. </w:t>
      </w:r>
    </w:p>
    <w:p w:rsidR="00864BD9" w:rsidRPr="00864BD9" w:rsidRDefault="00864BD9" w:rsidP="00864BD9">
      <w:pPr>
        <w:spacing w:after="240" w:line="276" w:lineRule="auto"/>
        <w:jc w:val="both"/>
        <w:rPr>
          <w:sz w:val="26"/>
          <w:szCs w:val="26"/>
        </w:rPr>
      </w:pPr>
      <w:r w:rsidRPr="00864BD9">
        <w:rPr>
          <w:sz w:val="26"/>
          <w:szCs w:val="26"/>
        </w:rPr>
        <w:t>Là một nghiên cứu đầu tiên trong nỗ lực đánh giá tác động lâu dài của thuốc này trên sự phát triển xương-khớp của trẻ em trong độ tuổi mới lớn, nghiên cứu bước đầu mang lại những bằng chứng khả quan về tính an toàn của việc sử dụng levofloxacin trên trẻ em, đặc biệt trong những chỉ định nhiễm trùng đa đề kháng.</w:t>
      </w:r>
    </w:p>
    <w:p w:rsidR="00864BD9" w:rsidRPr="00864BD9" w:rsidRDefault="00864BD9" w:rsidP="00864BD9">
      <w:pPr>
        <w:spacing w:after="240" w:line="276" w:lineRule="auto"/>
        <w:jc w:val="both"/>
        <w:rPr>
          <w:sz w:val="26"/>
          <w:szCs w:val="26"/>
        </w:rPr>
      </w:pPr>
      <w:r w:rsidRPr="00864BD9">
        <w:rPr>
          <w:sz w:val="26"/>
          <w:szCs w:val="26"/>
        </w:rPr>
        <w:t>Trước đây, các nghiên cứu độc tính của kháng sinh nhóm fluoroquinolon cho thấy thuốc này có thể gây tổn thương đến sự phát triển xương khớp, đặc biệt là các khớp chịu lực ở thú non. Điều này từ lâu làm dấy lên lo ngại về độc tính của các thuốc này khi sử dụng trên đối tượng trẻ em. Kéo theo đó, các tài liệu hướng dẫn thực hành đều nhấn mạnh việc cân nhắc tương quan lợi ích-tác hại của việc dùng kháng sinh fluoroquinolon trong</w:t>
      </w:r>
      <w:r>
        <w:rPr>
          <w:sz w:val="26"/>
          <w:szCs w:val="26"/>
        </w:rPr>
        <w:t xml:space="preserve"> nhiễm trùng nghiêm trọng khi</w:t>
      </w:r>
      <w:r w:rsidRPr="00864BD9">
        <w:rPr>
          <w:sz w:val="26"/>
          <w:szCs w:val="26"/>
        </w:rPr>
        <w:t xml:space="preserve"> không có liệu pháp thay thế hữu hiệu.</w:t>
      </w:r>
    </w:p>
    <w:p w:rsidR="001A1702" w:rsidRDefault="00864BD9" w:rsidP="00864BD9">
      <w:pPr>
        <w:spacing w:after="240" w:line="276" w:lineRule="auto"/>
        <w:jc w:val="both"/>
        <w:rPr>
          <w:sz w:val="26"/>
          <w:szCs w:val="26"/>
        </w:rPr>
      </w:pPr>
      <w:r w:rsidRPr="00864BD9">
        <w:rPr>
          <w:sz w:val="26"/>
          <w:szCs w:val="26"/>
        </w:rPr>
        <w:t xml:space="preserve">Mới đây, một nghiên cứu được tiến hành trên 2233 trẻ trong thời gian 5 năm sau khi được điều trị bằng kháng sinh (levofloxacin hoặc kháng sinh nhóm khác) nhằm đánh giá tổn thương và bất thường phát triển sụn khớp. Sau thời gian 1 năm, 124 trên 1340 trẻ (9%) thuộc nhóm dùng levofloxacin, và 83 trên 893 (9%) trẻ thuộc nhóm kháng sinh đối chứng có bộc lộ bất thường hoặc có nguy cơ tổn thương sụn khớp được lựa chọn để tiếp tục đánh giá trong vòng 4 năm tiếp theo. </w:t>
      </w:r>
    </w:p>
    <w:tbl>
      <w:tblPr>
        <w:tblStyle w:val="TableGrid"/>
        <w:tblW w:w="0" w:type="auto"/>
        <w:jc w:val="center"/>
        <w:tblLook w:val="04A0"/>
      </w:tblPr>
      <w:tblGrid>
        <w:gridCol w:w="2394"/>
        <w:gridCol w:w="2394"/>
        <w:gridCol w:w="2394"/>
        <w:gridCol w:w="2394"/>
      </w:tblGrid>
      <w:tr w:rsidR="00864BD9" w:rsidRPr="00864BD9" w:rsidTr="00302518">
        <w:trPr>
          <w:jc w:val="center"/>
        </w:trPr>
        <w:tc>
          <w:tcPr>
            <w:tcW w:w="2394" w:type="dxa"/>
            <w:vAlign w:val="center"/>
          </w:tcPr>
          <w:p w:rsidR="00864BD9" w:rsidRPr="00864BD9" w:rsidRDefault="00864BD9" w:rsidP="00864BD9">
            <w:pPr>
              <w:spacing w:after="240" w:line="276" w:lineRule="auto"/>
            </w:pPr>
          </w:p>
        </w:tc>
        <w:tc>
          <w:tcPr>
            <w:tcW w:w="2394" w:type="dxa"/>
            <w:vAlign w:val="center"/>
          </w:tcPr>
          <w:p w:rsidR="00864BD9" w:rsidRPr="00864BD9" w:rsidRDefault="00864BD9" w:rsidP="00864BD9">
            <w:pPr>
              <w:spacing w:line="276" w:lineRule="auto"/>
              <w:jc w:val="center"/>
              <w:rPr>
                <w:b/>
              </w:rPr>
            </w:pPr>
            <w:r w:rsidRPr="00864BD9">
              <w:rPr>
                <w:b/>
              </w:rPr>
              <w:t>Nhóm Levofloxacin</w:t>
            </w:r>
          </w:p>
          <w:p w:rsidR="00864BD9" w:rsidRPr="00864BD9" w:rsidRDefault="00864BD9" w:rsidP="00864BD9">
            <w:pPr>
              <w:spacing w:line="276" w:lineRule="auto"/>
              <w:jc w:val="center"/>
              <w:rPr>
                <w:b/>
              </w:rPr>
            </w:pPr>
            <w:r w:rsidRPr="00864BD9">
              <w:rPr>
                <w:b/>
              </w:rPr>
              <w:t>( n = 124 )</w:t>
            </w:r>
          </w:p>
        </w:tc>
        <w:tc>
          <w:tcPr>
            <w:tcW w:w="2394" w:type="dxa"/>
            <w:vAlign w:val="center"/>
          </w:tcPr>
          <w:p w:rsidR="00864BD9" w:rsidRPr="00864BD9" w:rsidRDefault="00864BD9" w:rsidP="00864BD9">
            <w:pPr>
              <w:spacing w:line="276" w:lineRule="auto"/>
              <w:jc w:val="center"/>
              <w:rPr>
                <w:b/>
              </w:rPr>
            </w:pPr>
            <w:r w:rsidRPr="00864BD9">
              <w:rPr>
                <w:b/>
              </w:rPr>
              <w:t>Nhóm đối chứng</w:t>
            </w:r>
          </w:p>
          <w:p w:rsidR="00864BD9" w:rsidRPr="00864BD9" w:rsidRDefault="00864BD9" w:rsidP="00864BD9">
            <w:pPr>
              <w:spacing w:line="276" w:lineRule="auto"/>
              <w:jc w:val="center"/>
              <w:rPr>
                <w:b/>
              </w:rPr>
            </w:pPr>
            <w:r w:rsidRPr="00864BD9">
              <w:rPr>
                <w:b/>
              </w:rPr>
              <w:t>(n = 83)</w:t>
            </w:r>
          </w:p>
        </w:tc>
        <w:tc>
          <w:tcPr>
            <w:tcW w:w="2394" w:type="dxa"/>
            <w:vAlign w:val="center"/>
          </w:tcPr>
          <w:p w:rsidR="00864BD9" w:rsidRPr="00864BD9" w:rsidRDefault="00864BD9" w:rsidP="00864BD9">
            <w:pPr>
              <w:spacing w:line="276" w:lineRule="auto"/>
              <w:jc w:val="center"/>
              <w:rPr>
                <w:b/>
              </w:rPr>
            </w:pPr>
            <w:r w:rsidRPr="00864BD9">
              <w:rPr>
                <w:b/>
              </w:rPr>
              <w:t>Tổng</w:t>
            </w:r>
          </w:p>
          <w:p w:rsidR="00864BD9" w:rsidRPr="00864BD9" w:rsidRDefault="00864BD9" w:rsidP="00864BD9">
            <w:pPr>
              <w:spacing w:line="276" w:lineRule="auto"/>
              <w:jc w:val="center"/>
              <w:rPr>
                <w:b/>
              </w:rPr>
            </w:pPr>
            <w:r w:rsidRPr="00864BD9">
              <w:rPr>
                <w:b/>
              </w:rPr>
              <w:t>(n=207)</w:t>
            </w:r>
          </w:p>
        </w:tc>
      </w:tr>
      <w:tr w:rsidR="00864BD9" w:rsidRPr="00864BD9" w:rsidTr="00302518">
        <w:trPr>
          <w:jc w:val="center"/>
        </w:trPr>
        <w:tc>
          <w:tcPr>
            <w:tcW w:w="2394" w:type="dxa"/>
            <w:vAlign w:val="center"/>
          </w:tcPr>
          <w:p w:rsidR="00864BD9" w:rsidRPr="00864BD9" w:rsidRDefault="00864BD9" w:rsidP="00864BD9">
            <w:pPr>
              <w:spacing w:line="276" w:lineRule="auto"/>
              <w:rPr>
                <w:b/>
              </w:rPr>
            </w:pPr>
            <w:r w:rsidRPr="00864BD9">
              <w:rPr>
                <w:b/>
              </w:rPr>
              <w:t>Độ tuổi trung bình</w:t>
            </w:r>
          </w:p>
        </w:tc>
        <w:tc>
          <w:tcPr>
            <w:tcW w:w="2394" w:type="dxa"/>
            <w:vAlign w:val="center"/>
          </w:tcPr>
          <w:p w:rsidR="00864BD9" w:rsidRPr="00864BD9" w:rsidRDefault="00864BD9" w:rsidP="00864BD9">
            <w:pPr>
              <w:spacing w:line="276" w:lineRule="auto"/>
              <w:jc w:val="center"/>
            </w:pPr>
            <w:r w:rsidRPr="00864BD9">
              <w:t>3.00</w:t>
            </w:r>
          </w:p>
        </w:tc>
        <w:tc>
          <w:tcPr>
            <w:tcW w:w="2394" w:type="dxa"/>
            <w:vAlign w:val="center"/>
          </w:tcPr>
          <w:p w:rsidR="00864BD9" w:rsidRPr="00864BD9" w:rsidRDefault="00864BD9" w:rsidP="00864BD9">
            <w:pPr>
              <w:spacing w:line="276" w:lineRule="auto"/>
              <w:jc w:val="center"/>
            </w:pPr>
            <w:r w:rsidRPr="00864BD9">
              <w:t>2.60</w:t>
            </w:r>
          </w:p>
        </w:tc>
        <w:tc>
          <w:tcPr>
            <w:tcW w:w="2394" w:type="dxa"/>
            <w:vAlign w:val="center"/>
          </w:tcPr>
          <w:p w:rsidR="00864BD9" w:rsidRPr="00864BD9" w:rsidRDefault="00864BD9" w:rsidP="00864BD9">
            <w:pPr>
              <w:tabs>
                <w:tab w:val="right" w:pos="1089"/>
                <w:tab w:val="left" w:pos="1285"/>
              </w:tabs>
              <w:spacing w:line="276" w:lineRule="auto"/>
              <w:jc w:val="center"/>
            </w:pPr>
            <w:r w:rsidRPr="00864BD9">
              <w:t>2.90</w:t>
            </w:r>
          </w:p>
        </w:tc>
      </w:tr>
      <w:tr w:rsidR="00864BD9" w:rsidRPr="00864BD9" w:rsidTr="00302518">
        <w:trPr>
          <w:jc w:val="center"/>
        </w:trPr>
        <w:tc>
          <w:tcPr>
            <w:tcW w:w="2394" w:type="dxa"/>
            <w:vAlign w:val="center"/>
          </w:tcPr>
          <w:p w:rsidR="00864BD9" w:rsidRPr="00864BD9" w:rsidRDefault="00864BD9" w:rsidP="00864BD9">
            <w:pPr>
              <w:spacing w:line="276" w:lineRule="auto"/>
              <w:rPr>
                <w:b/>
              </w:rPr>
            </w:pPr>
            <w:r w:rsidRPr="00864BD9">
              <w:rPr>
                <w:b/>
              </w:rPr>
              <w:t>Nhóm tuổi</w:t>
            </w:r>
          </w:p>
        </w:tc>
        <w:tc>
          <w:tcPr>
            <w:tcW w:w="2394" w:type="dxa"/>
            <w:vAlign w:val="center"/>
          </w:tcPr>
          <w:p w:rsidR="00864BD9" w:rsidRPr="00864BD9" w:rsidRDefault="00864BD9" w:rsidP="00864BD9">
            <w:pPr>
              <w:spacing w:line="276" w:lineRule="auto"/>
              <w:jc w:val="center"/>
            </w:pPr>
          </w:p>
        </w:tc>
        <w:tc>
          <w:tcPr>
            <w:tcW w:w="2394" w:type="dxa"/>
            <w:vAlign w:val="center"/>
          </w:tcPr>
          <w:p w:rsidR="00864BD9" w:rsidRPr="00864BD9" w:rsidRDefault="00864BD9" w:rsidP="00864BD9">
            <w:pPr>
              <w:spacing w:line="276" w:lineRule="auto"/>
              <w:jc w:val="center"/>
            </w:pPr>
          </w:p>
        </w:tc>
        <w:tc>
          <w:tcPr>
            <w:tcW w:w="2394" w:type="dxa"/>
            <w:vAlign w:val="center"/>
          </w:tcPr>
          <w:p w:rsidR="00864BD9" w:rsidRPr="00864BD9" w:rsidRDefault="00864BD9" w:rsidP="00864BD9">
            <w:pPr>
              <w:tabs>
                <w:tab w:val="right" w:pos="1089"/>
                <w:tab w:val="left" w:pos="1285"/>
              </w:tabs>
              <w:spacing w:line="276" w:lineRule="auto"/>
              <w:jc w:val="center"/>
            </w:pPr>
          </w:p>
        </w:tc>
      </w:tr>
      <w:tr w:rsidR="00864BD9" w:rsidRPr="00864BD9" w:rsidTr="00302518">
        <w:trPr>
          <w:jc w:val="center"/>
        </w:trPr>
        <w:tc>
          <w:tcPr>
            <w:tcW w:w="2394" w:type="dxa"/>
            <w:vAlign w:val="center"/>
          </w:tcPr>
          <w:p w:rsidR="00864BD9" w:rsidRPr="00864BD9" w:rsidRDefault="00864BD9" w:rsidP="00864BD9">
            <w:pPr>
              <w:pStyle w:val="ListParagraph"/>
              <w:numPr>
                <w:ilvl w:val="0"/>
                <w:numId w:val="11"/>
              </w:numPr>
              <w:spacing w:line="276" w:lineRule="auto"/>
            </w:pPr>
            <w:r w:rsidRPr="00864BD9">
              <w:t>&lt;2</w:t>
            </w:r>
          </w:p>
        </w:tc>
        <w:tc>
          <w:tcPr>
            <w:tcW w:w="2394" w:type="dxa"/>
            <w:vAlign w:val="center"/>
          </w:tcPr>
          <w:p w:rsidR="00864BD9" w:rsidRPr="00864BD9" w:rsidRDefault="00864BD9" w:rsidP="00864BD9">
            <w:pPr>
              <w:spacing w:line="276" w:lineRule="auto"/>
              <w:jc w:val="center"/>
            </w:pPr>
            <w:r w:rsidRPr="00864BD9">
              <w:t>16</w:t>
            </w:r>
          </w:p>
        </w:tc>
        <w:tc>
          <w:tcPr>
            <w:tcW w:w="2394" w:type="dxa"/>
            <w:vAlign w:val="center"/>
          </w:tcPr>
          <w:p w:rsidR="00864BD9" w:rsidRPr="00864BD9" w:rsidRDefault="00864BD9" w:rsidP="00864BD9">
            <w:pPr>
              <w:spacing w:line="276" w:lineRule="auto"/>
              <w:jc w:val="center"/>
            </w:pPr>
            <w:r w:rsidRPr="00864BD9">
              <w:t>14</w:t>
            </w:r>
          </w:p>
        </w:tc>
        <w:tc>
          <w:tcPr>
            <w:tcW w:w="2394" w:type="dxa"/>
            <w:vAlign w:val="center"/>
          </w:tcPr>
          <w:p w:rsidR="00864BD9" w:rsidRPr="00864BD9" w:rsidRDefault="00864BD9" w:rsidP="00864BD9">
            <w:pPr>
              <w:tabs>
                <w:tab w:val="right" w:pos="1089"/>
                <w:tab w:val="left" w:pos="1285"/>
              </w:tabs>
              <w:spacing w:line="276" w:lineRule="auto"/>
              <w:jc w:val="center"/>
            </w:pPr>
            <w:r w:rsidRPr="00864BD9">
              <w:t xml:space="preserve">30 </w:t>
            </w:r>
            <w:r w:rsidRPr="00864BD9">
              <w:tab/>
              <w:t>(14%)</w:t>
            </w:r>
          </w:p>
        </w:tc>
      </w:tr>
      <w:tr w:rsidR="00864BD9" w:rsidRPr="00864BD9" w:rsidTr="00302518">
        <w:trPr>
          <w:jc w:val="center"/>
        </w:trPr>
        <w:tc>
          <w:tcPr>
            <w:tcW w:w="2394" w:type="dxa"/>
            <w:vAlign w:val="center"/>
          </w:tcPr>
          <w:p w:rsidR="00864BD9" w:rsidRPr="00864BD9" w:rsidRDefault="00864BD9" w:rsidP="00864BD9">
            <w:pPr>
              <w:pStyle w:val="ListParagraph"/>
              <w:numPr>
                <w:ilvl w:val="0"/>
                <w:numId w:val="11"/>
              </w:numPr>
              <w:spacing w:line="276" w:lineRule="auto"/>
            </w:pPr>
            <w:r w:rsidRPr="00864BD9">
              <w:t>2-6</w:t>
            </w:r>
          </w:p>
        </w:tc>
        <w:tc>
          <w:tcPr>
            <w:tcW w:w="2394" w:type="dxa"/>
            <w:vAlign w:val="center"/>
          </w:tcPr>
          <w:p w:rsidR="00864BD9" w:rsidRPr="00864BD9" w:rsidRDefault="00864BD9" w:rsidP="00864BD9">
            <w:pPr>
              <w:spacing w:line="276" w:lineRule="auto"/>
              <w:jc w:val="center"/>
            </w:pPr>
            <w:r w:rsidRPr="00864BD9">
              <w:t>95</w:t>
            </w:r>
          </w:p>
        </w:tc>
        <w:tc>
          <w:tcPr>
            <w:tcW w:w="2394" w:type="dxa"/>
            <w:vAlign w:val="center"/>
          </w:tcPr>
          <w:p w:rsidR="00864BD9" w:rsidRPr="00864BD9" w:rsidRDefault="00864BD9" w:rsidP="00864BD9">
            <w:pPr>
              <w:spacing w:line="276" w:lineRule="auto"/>
              <w:jc w:val="center"/>
            </w:pPr>
            <w:r w:rsidRPr="00864BD9">
              <w:t>62</w:t>
            </w:r>
          </w:p>
        </w:tc>
        <w:tc>
          <w:tcPr>
            <w:tcW w:w="2394" w:type="dxa"/>
            <w:vAlign w:val="center"/>
          </w:tcPr>
          <w:p w:rsidR="00864BD9" w:rsidRPr="00864BD9" w:rsidRDefault="00864BD9" w:rsidP="00864BD9">
            <w:pPr>
              <w:tabs>
                <w:tab w:val="right" w:pos="1089"/>
                <w:tab w:val="left" w:pos="1285"/>
              </w:tabs>
              <w:spacing w:line="276" w:lineRule="auto"/>
              <w:jc w:val="center"/>
            </w:pPr>
            <w:r w:rsidRPr="00864BD9">
              <w:t xml:space="preserve">157 </w:t>
            </w:r>
            <w:r w:rsidRPr="00864BD9">
              <w:tab/>
              <w:t>(76%)</w:t>
            </w:r>
          </w:p>
        </w:tc>
      </w:tr>
      <w:tr w:rsidR="00864BD9" w:rsidRPr="00864BD9" w:rsidTr="00302518">
        <w:trPr>
          <w:jc w:val="center"/>
        </w:trPr>
        <w:tc>
          <w:tcPr>
            <w:tcW w:w="2394" w:type="dxa"/>
            <w:vAlign w:val="center"/>
          </w:tcPr>
          <w:p w:rsidR="00864BD9" w:rsidRPr="00864BD9" w:rsidRDefault="00864BD9" w:rsidP="00864BD9">
            <w:pPr>
              <w:pStyle w:val="ListParagraph"/>
              <w:numPr>
                <w:ilvl w:val="0"/>
                <w:numId w:val="11"/>
              </w:numPr>
              <w:spacing w:line="276" w:lineRule="auto"/>
            </w:pPr>
            <w:r w:rsidRPr="00864BD9">
              <w:t>6-12 tuổi</w:t>
            </w:r>
          </w:p>
        </w:tc>
        <w:tc>
          <w:tcPr>
            <w:tcW w:w="2394" w:type="dxa"/>
            <w:vAlign w:val="center"/>
          </w:tcPr>
          <w:p w:rsidR="00864BD9" w:rsidRPr="00864BD9" w:rsidRDefault="00864BD9" w:rsidP="00864BD9">
            <w:pPr>
              <w:spacing w:line="276" w:lineRule="auto"/>
              <w:jc w:val="center"/>
            </w:pPr>
            <w:r w:rsidRPr="00864BD9">
              <w:t>9</w:t>
            </w:r>
          </w:p>
        </w:tc>
        <w:tc>
          <w:tcPr>
            <w:tcW w:w="2394" w:type="dxa"/>
            <w:vAlign w:val="center"/>
          </w:tcPr>
          <w:p w:rsidR="00864BD9" w:rsidRPr="00864BD9" w:rsidRDefault="00864BD9" w:rsidP="00864BD9">
            <w:pPr>
              <w:spacing w:line="276" w:lineRule="auto"/>
              <w:jc w:val="center"/>
            </w:pPr>
            <w:r w:rsidRPr="00864BD9">
              <w:t>5</w:t>
            </w:r>
          </w:p>
        </w:tc>
        <w:tc>
          <w:tcPr>
            <w:tcW w:w="2394" w:type="dxa"/>
            <w:vAlign w:val="center"/>
          </w:tcPr>
          <w:p w:rsidR="00864BD9" w:rsidRPr="00864BD9" w:rsidRDefault="00864BD9" w:rsidP="00864BD9">
            <w:pPr>
              <w:tabs>
                <w:tab w:val="right" w:pos="1089"/>
                <w:tab w:val="left" w:pos="1285"/>
              </w:tabs>
              <w:spacing w:line="276" w:lineRule="auto"/>
              <w:jc w:val="center"/>
            </w:pPr>
            <w:r w:rsidRPr="00864BD9">
              <w:t xml:space="preserve">14 </w:t>
            </w:r>
            <w:r w:rsidRPr="00864BD9">
              <w:tab/>
              <w:t>(7%)</w:t>
            </w:r>
          </w:p>
        </w:tc>
      </w:tr>
      <w:tr w:rsidR="00864BD9" w:rsidRPr="00864BD9" w:rsidTr="00302518">
        <w:trPr>
          <w:jc w:val="center"/>
        </w:trPr>
        <w:tc>
          <w:tcPr>
            <w:tcW w:w="2394" w:type="dxa"/>
            <w:vAlign w:val="center"/>
          </w:tcPr>
          <w:p w:rsidR="00864BD9" w:rsidRPr="00864BD9" w:rsidRDefault="00864BD9" w:rsidP="00864BD9">
            <w:pPr>
              <w:pStyle w:val="ListParagraph"/>
              <w:numPr>
                <w:ilvl w:val="0"/>
                <w:numId w:val="11"/>
              </w:numPr>
              <w:spacing w:line="276" w:lineRule="auto"/>
            </w:pPr>
            <w:r w:rsidRPr="00864BD9">
              <w:t>12 – 17 tuổi</w:t>
            </w:r>
          </w:p>
        </w:tc>
        <w:tc>
          <w:tcPr>
            <w:tcW w:w="2394" w:type="dxa"/>
            <w:vAlign w:val="center"/>
          </w:tcPr>
          <w:p w:rsidR="00864BD9" w:rsidRPr="00864BD9" w:rsidRDefault="00864BD9" w:rsidP="00864BD9">
            <w:pPr>
              <w:spacing w:line="276" w:lineRule="auto"/>
              <w:jc w:val="center"/>
            </w:pPr>
            <w:r w:rsidRPr="00864BD9">
              <w:t>4</w:t>
            </w:r>
          </w:p>
        </w:tc>
        <w:tc>
          <w:tcPr>
            <w:tcW w:w="2394" w:type="dxa"/>
            <w:vAlign w:val="center"/>
          </w:tcPr>
          <w:p w:rsidR="00864BD9" w:rsidRPr="00864BD9" w:rsidRDefault="00864BD9" w:rsidP="00864BD9">
            <w:pPr>
              <w:spacing w:line="276" w:lineRule="auto"/>
              <w:jc w:val="center"/>
            </w:pPr>
            <w:r w:rsidRPr="00864BD9">
              <w:t>2</w:t>
            </w:r>
          </w:p>
        </w:tc>
        <w:tc>
          <w:tcPr>
            <w:tcW w:w="2394" w:type="dxa"/>
            <w:vAlign w:val="center"/>
          </w:tcPr>
          <w:p w:rsidR="00864BD9" w:rsidRPr="00864BD9" w:rsidRDefault="00864BD9" w:rsidP="00864BD9">
            <w:pPr>
              <w:tabs>
                <w:tab w:val="right" w:pos="1089"/>
                <w:tab w:val="left" w:pos="1285"/>
              </w:tabs>
              <w:spacing w:line="276" w:lineRule="auto"/>
              <w:jc w:val="center"/>
            </w:pPr>
            <w:r w:rsidRPr="00864BD9">
              <w:t xml:space="preserve">6 </w:t>
            </w:r>
            <w:r w:rsidRPr="00864BD9">
              <w:tab/>
              <w:t>(3%)</w:t>
            </w:r>
          </w:p>
        </w:tc>
      </w:tr>
      <w:tr w:rsidR="00864BD9" w:rsidRPr="00864BD9" w:rsidTr="00302518">
        <w:trPr>
          <w:jc w:val="center"/>
        </w:trPr>
        <w:tc>
          <w:tcPr>
            <w:tcW w:w="2394" w:type="dxa"/>
            <w:vAlign w:val="center"/>
          </w:tcPr>
          <w:p w:rsidR="00864BD9" w:rsidRPr="00864BD9" w:rsidRDefault="00864BD9" w:rsidP="00864BD9">
            <w:pPr>
              <w:spacing w:line="276" w:lineRule="auto"/>
              <w:rPr>
                <w:b/>
              </w:rPr>
            </w:pPr>
            <w:r w:rsidRPr="00864BD9">
              <w:rPr>
                <w:b/>
              </w:rPr>
              <w:t>Giới tính</w:t>
            </w:r>
          </w:p>
        </w:tc>
        <w:tc>
          <w:tcPr>
            <w:tcW w:w="2394" w:type="dxa"/>
            <w:vAlign w:val="center"/>
          </w:tcPr>
          <w:p w:rsidR="00864BD9" w:rsidRPr="00864BD9" w:rsidRDefault="00864BD9" w:rsidP="00864BD9">
            <w:pPr>
              <w:spacing w:line="276" w:lineRule="auto"/>
              <w:jc w:val="center"/>
            </w:pPr>
          </w:p>
        </w:tc>
        <w:tc>
          <w:tcPr>
            <w:tcW w:w="2394" w:type="dxa"/>
            <w:vAlign w:val="center"/>
          </w:tcPr>
          <w:p w:rsidR="00864BD9" w:rsidRPr="00864BD9" w:rsidRDefault="00864BD9" w:rsidP="00864BD9">
            <w:pPr>
              <w:spacing w:line="276" w:lineRule="auto"/>
              <w:jc w:val="center"/>
            </w:pPr>
          </w:p>
        </w:tc>
        <w:tc>
          <w:tcPr>
            <w:tcW w:w="2394" w:type="dxa"/>
            <w:vAlign w:val="center"/>
          </w:tcPr>
          <w:p w:rsidR="00864BD9" w:rsidRPr="00864BD9" w:rsidRDefault="00864BD9" w:rsidP="00864BD9">
            <w:pPr>
              <w:tabs>
                <w:tab w:val="right" w:pos="1089"/>
                <w:tab w:val="left" w:pos="1285"/>
              </w:tabs>
              <w:spacing w:line="276" w:lineRule="auto"/>
              <w:jc w:val="center"/>
            </w:pPr>
          </w:p>
        </w:tc>
      </w:tr>
      <w:tr w:rsidR="00864BD9" w:rsidRPr="00864BD9" w:rsidTr="00302518">
        <w:trPr>
          <w:jc w:val="center"/>
        </w:trPr>
        <w:tc>
          <w:tcPr>
            <w:tcW w:w="2394" w:type="dxa"/>
            <w:vAlign w:val="center"/>
          </w:tcPr>
          <w:p w:rsidR="00864BD9" w:rsidRPr="00864BD9" w:rsidRDefault="00864BD9" w:rsidP="00864BD9">
            <w:pPr>
              <w:pStyle w:val="ListParagraph"/>
              <w:numPr>
                <w:ilvl w:val="0"/>
                <w:numId w:val="11"/>
              </w:numPr>
              <w:spacing w:line="276" w:lineRule="auto"/>
            </w:pPr>
            <w:r w:rsidRPr="00864BD9">
              <w:t>Nam</w:t>
            </w:r>
          </w:p>
        </w:tc>
        <w:tc>
          <w:tcPr>
            <w:tcW w:w="2394" w:type="dxa"/>
            <w:vAlign w:val="center"/>
          </w:tcPr>
          <w:p w:rsidR="00864BD9" w:rsidRPr="00864BD9" w:rsidRDefault="00864BD9" w:rsidP="00864BD9">
            <w:pPr>
              <w:spacing w:line="276" w:lineRule="auto"/>
              <w:jc w:val="center"/>
            </w:pPr>
            <w:r w:rsidRPr="00864BD9">
              <w:t>76</w:t>
            </w:r>
          </w:p>
        </w:tc>
        <w:tc>
          <w:tcPr>
            <w:tcW w:w="2394" w:type="dxa"/>
            <w:vAlign w:val="center"/>
          </w:tcPr>
          <w:p w:rsidR="00864BD9" w:rsidRPr="00864BD9" w:rsidRDefault="00864BD9" w:rsidP="00864BD9">
            <w:pPr>
              <w:spacing w:line="276" w:lineRule="auto"/>
              <w:jc w:val="center"/>
            </w:pPr>
            <w:r w:rsidRPr="00864BD9">
              <w:t>43</w:t>
            </w:r>
          </w:p>
        </w:tc>
        <w:tc>
          <w:tcPr>
            <w:tcW w:w="2394" w:type="dxa"/>
            <w:vAlign w:val="center"/>
          </w:tcPr>
          <w:p w:rsidR="00864BD9" w:rsidRPr="00864BD9" w:rsidRDefault="00864BD9" w:rsidP="00864BD9">
            <w:pPr>
              <w:tabs>
                <w:tab w:val="right" w:pos="1089"/>
                <w:tab w:val="left" w:pos="1285"/>
              </w:tabs>
              <w:spacing w:line="276" w:lineRule="auto"/>
              <w:jc w:val="center"/>
            </w:pPr>
            <w:r w:rsidRPr="00864BD9">
              <w:t xml:space="preserve">119 </w:t>
            </w:r>
            <w:r w:rsidRPr="00864BD9">
              <w:tab/>
              <w:t>(57%)</w:t>
            </w:r>
          </w:p>
        </w:tc>
      </w:tr>
      <w:tr w:rsidR="00864BD9" w:rsidRPr="00864BD9" w:rsidTr="00302518">
        <w:trPr>
          <w:trHeight w:val="56"/>
          <w:jc w:val="center"/>
        </w:trPr>
        <w:tc>
          <w:tcPr>
            <w:tcW w:w="2394" w:type="dxa"/>
            <w:vAlign w:val="center"/>
          </w:tcPr>
          <w:p w:rsidR="00864BD9" w:rsidRPr="00864BD9" w:rsidRDefault="00864BD9" w:rsidP="00864BD9">
            <w:pPr>
              <w:pStyle w:val="ListParagraph"/>
              <w:numPr>
                <w:ilvl w:val="0"/>
                <w:numId w:val="11"/>
              </w:numPr>
              <w:spacing w:line="276" w:lineRule="auto"/>
            </w:pPr>
            <w:r w:rsidRPr="00864BD9">
              <w:t>Nữ</w:t>
            </w:r>
          </w:p>
        </w:tc>
        <w:tc>
          <w:tcPr>
            <w:tcW w:w="2394" w:type="dxa"/>
            <w:vAlign w:val="center"/>
          </w:tcPr>
          <w:p w:rsidR="00864BD9" w:rsidRPr="00864BD9" w:rsidRDefault="00864BD9" w:rsidP="00864BD9">
            <w:pPr>
              <w:spacing w:line="276" w:lineRule="auto"/>
              <w:jc w:val="center"/>
            </w:pPr>
            <w:r w:rsidRPr="00864BD9">
              <w:t>48</w:t>
            </w:r>
          </w:p>
        </w:tc>
        <w:tc>
          <w:tcPr>
            <w:tcW w:w="2394" w:type="dxa"/>
            <w:vAlign w:val="center"/>
          </w:tcPr>
          <w:p w:rsidR="00864BD9" w:rsidRPr="00864BD9" w:rsidRDefault="00864BD9" w:rsidP="00864BD9">
            <w:pPr>
              <w:spacing w:line="276" w:lineRule="auto"/>
              <w:jc w:val="center"/>
            </w:pPr>
            <w:r w:rsidRPr="00864BD9">
              <w:t>40</w:t>
            </w:r>
          </w:p>
        </w:tc>
        <w:tc>
          <w:tcPr>
            <w:tcW w:w="2394" w:type="dxa"/>
            <w:vAlign w:val="center"/>
          </w:tcPr>
          <w:p w:rsidR="00864BD9" w:rsidRPr="00864BD9" w:rsidRDefault="00864BD9" w:rsidP="00864BD9">
            <w:pPr>
              <w:tabs>
                <w:tab w:val="right" w:pos="1089"/>
                <w:tab w:val="left" w:pos="1285"/>
              </w:tabs>
              <w:spacing w:line="276" w:lineRule="auto"/>
              <w:jc w:val="center"/>
            </w:pPr>
            <w:r w:rsidRPr="00864BD9">
              <w:t xml:space="preserve">88 </w:t>
            </w:r>
            <w:r w:rsidRPr="00864BD9">
              <w:tab/>
              <w:t>(43%)</w:t>
            </w:r>
          </w:p>
        </w:tc>
      </w:tr>
    </w:tbl>
    <w:p w:rsidR="001A1702" w:rsidRPr="001A1702" w:rsidRDefault="001A1702" w:rsidP="001A1702">
      <w:pPr>
        <w:spacing w:before="240" w:after="240" w:line="276" w:lineRule="auto"/>
        <w:jc w:val="center"/>
        <w:rPr>
          <w:b/>
          <w:sz w:val="26"/>
          <w:szCs w:val="26"/>
        </w:rPr>
      </w:pPr>
      <w:r w:rsidRPr="001A1702">
        <w:rPr>
          <w:b/>
          <w:sz w:val="26"/>
          <w:szCs w:val="26"/>
          <w:u w:val="single"/>
        </w:rPr>
        <w:t>Bảng:</w:t>
      </w:r>
      <w:r w:rsidRPr="001A1702">
        <w:rPr>
          <w:b/>
          <w:sz w:val="26"/>
          <w:szCs w:val="26"/>
        </w:rPr>
        <w:t xml:space="preserve"> Đặc điểm nhóm trẻ được nghiên cứu</w:t>
      </w:r>
    </w:p>
    <w:p w:rsidR="001A1702" w:rsidRDefault="001A1702" w:rsidP="001A1702">
      <w:pPr>
        <w:spacing w:before="240" w:after="240" w:line="276" w:lineRule="auto"/>
        <w:jc w:val="both"/>
        <w:rPr>
          <w:sz w:val="26"/>
          <w:szCs w:val="26"/>
        </w:rPr>
      </w:pPr>
      <w:r w:rsidRPr="00864BD9">
        <w:rPr>
          <w:sz w:val="26"/>
          <w:szCs w:val="26"/>
        </w:rPr>
        <w:lastRenderedPageBreak/>
        <w:t>Kết quả cho thấy sau 5 năm, chỉ có 1 trẻ trong mỗi nhóm (1/1340 trẻ và 1/893 trẻ) vẫn tiếp tục có những dấu diệu đáng quan ngại về xương khớp. Các số liệu thống kê này cũng được phân tích bởi Ủy ban theo dõi an toàn thuốc của Hoa Kỳ (</w:t>
      </w:r>
      <w:r w:rsidRPr="006B4416">
        <w:rPr>
          <w:i/>
          <w:sz w:val="26"/>
          <w:szCs w:val="26"/>
        </w:rPr>
        <w:t>Data safety and Monitoring Committee</w:t>
      </w:r>
      <w:r w:rsidRPr="00864BD9">
        <w:rPr>
          <w:sz w:val="26"/>
          <w:szCs w:val="26"/>
        </w:rPr>
        <w:t>), cho kết luận không có trường hợp tổn thương hoặc bất thường phát triển nào là có liên quan đến tác dụng của thuốc.</w:t>
      </w:r>
    </w:p>
    <w:p w:rsidR="00864BD9" w:rsidRPr="00864BD9" w:rsidRDefault="00864BD9" w:rsidP="00864BD9">
      <w:pPr>
        <w:spacing w:after="240" w:line="276" w:lineRule="auto"/>
        <w:jc w:val="both"/>
        <w:rPr>
          <w:sz w:val="26"/>
          <w:szCs w:val="26"/>
        </w:rPr>
      </w:pPr>
      <w:r w:rsidRPr="00864BD9">
        <w:rPr>
          <w:sz w:val="26"/>
          <w:szCs w:val="26"/>
        </w:rPr>
        <w:t xml:space="preserve">Nghiên cứu được công bố vào tháng 6 năm 2014 nhận được rất nhiều sự quan tâm trong giới y học tuy nhiên cũng vẫn còn tồn tại nhiều hạn chế. Hai nhóm thuốc gồm levofloxacin và nhóm kháng sinh đối chứng không được mã hóa trong quá trình nghiên cứu có thể gây ra sự chủ quan trong đánh giá kết quả. Bên cạnh đó, có hơn một nửa số đối tượng nghiên cứu được lựa chon sau năm đầu tiên ngừng tham gia nghiên cứu trong vòng 4 năm sau đó. Kết quả là chỉ có khoảng 49 % số đối tượng nghiên cứu được thu thập dữ liệu một cách đầy đủ. </w:t>
      </w:r>
    </w:p>
    <w:p w:rsidR="00864BD9" w:rsidRDefault="00864BD9" w:rsidP="00864BD9">
      <w:pPr>
        <w:spacing w:after="240" w:line="276" w:lineRule="auto"/>
        <w:jc w:val="both"/>
        <w:rPr>
          <w:sz w:val="26"/>
          <w:szCs w:val="26"/>
        </w:rPr>
      </w:pPr>
      <w:r w:rsidRPr="00864BD9">
        <w:rPr>
          <w:sz w:val="26"/>
          <w:szCs w:val="26"/>
        </w:rPr>
        <w:t>Một cách tổng quát, mặc dù nghiên cứu này bước đầu mang lại tin vui cho các nhà lâm sàng trong việc sử dụng levofloxacin trên đối tượng trẻ nhỏ, nhưng các khuyến cáo về việc cân nhắc lợi ích – tác hại khi chỉ định dùng thuốc hoặc tuân thủ theo các tài liệu thực hành (guidelines) vẫn còn phát huy tác dụng.</w:t>
      </w:r>
    </w:p>
    <w:p w:rsidR="001A1702" w:rsidRDefault="001A1702" w:rsidP="001A1702">
      <w:pPr>
        <w:spacing w:after="240" w:line="276" w:lineRule="auto"/>
        <w:jc w:val="both"/>
        <w:rPr>
          <w:sz w:val="22"/>
          <w:szCs w:val="22"/>
        </w:rPr>
      </w:pPr>
      <w:r w:rsidRPr="001A1702">
        <w:rPr>
          <w:b/>
          <w:sz w:val="22"/>
          <w:szCs w:val="22"/>
          <w:u w:val="single"/>
        </w:rPr>
        <w:t>Nguồn:</w:t>
      </w:r>
      <w:r w:rsidRPr="001A1702">
        <w:rPr>
          <w:sz w:val="22"/>
          <w:szCs w:val="22"/>
        </w:rPr>
        <w:t xml:space="preserve"> </w:t>
      </w:r>
    </w:p>
    <w:p w:rsidR="001A1702" w:rsidRPr="001A1702" w:rsidRDefault="001A1702" w:rsidP="001A1702">
      <w:pPr>
        <w:pStyle w:val="ListParagraph"/>
        <w:numPr>
          <w:ilvl w:val="0"/>
          <w:numId w:val="12"/>
        </w:numPr>
        <w:spacing w:after="240" w:line="276" w:lineRule="auto"/>
        <w:jc w:val="both"/>
        <w:rPr>
          <w:sz w:val="22"/>
          <w:szCs w:val="22"/>
        </w:rPr>
      </w:pPr>
      <w:r w:rsidRPr="001A1702">
        <w:rPr>
          <w:i/>
          <w:sz w:val="22"/>
          <w:szCs w:val="22"/>
        </w:rPr>
        <w:t xml:space="preserve">Levofloxacin shows no evidence of cartilage toxicity in kids | </w:t>
      </w:r>
      <w:hyperlink r:id="rId9" w:history="1">
        <w:r w:rsidRPr="001841F2">
          <w:rPr>
            <w:rStyle w:val="Hyperlink"/>
            <w:i/>
            <w:sz w:val="22"/>
            <w:szCs w:val="22"/>
          </w:rPr>
          <w:t>http://www.medscape.com/viewarticle/826024</w:t>
        </w:r>
      </w:hyperlink>
    </w:p>
    <w:p w:rsidR="001A1702" w:rsidRPr="006B4416" w:rsidRDefault="001A1702" w:rsidP="001A1702">
      <w:pPr>
        <w:pStyle w:val="ListParagraph"/>
        <w:numPr>
          <w:ilvl w:val="0"/>
          <w:numId w:val="12"/>
        </w:numPr>
        <w:spacing w:line="276" w:lineRule="auto"/>
        <w:jc w:val="both"/>
        <w:rPr>
          <w:sz w:val="22"/>
          <w:szCs w:val="22"/>
        </w:rPr>
      </w:pPr>
      <w:r w:rsidRPr="001A1702">
        <w:rPr>
          <w:sz w:val="22"/>
          <w:szCs w:val="22"/>
        </w:rPr>
        <w:t>John S. Bradley, et al.,</w:t>
      </w:r>
      <w:r>
        <w:rPr>
          <w:i/>
          <w:sz w:val="22"/>
          <w:szCs w:val="22"/>
        </w:rPr>
        <w:t xml:space="preserve"> Assessment of musculoskeletal toxicity 5 years after therapy with levofloxacin, Pediatrics,</w:t>
      </w:r>
      <w:r w:rsidRPr="001A1702">
        <w:rPr>
          <w:sz w:val="22"/>
          <w:szCs w:val="22"/>
        </w:rPr>
        <w:t xml:space="preserve"> 2014</w:t>
      </w:r>
      <w:r>
        <w:rPr>
          <w:i/>
          <w:sz w:val="22"/>
          <w:szCs w:val="22"/>
        </w:rPr>
        <w:t>.</w:t>
      </w:r>
    </w:p>
    <w:p w:rsidR="006B4416" w:rsidRPr="006B4416" w:rsidRDefault="006B4416" w:rsidP="006B4416">
      <w:pPr>
        <w:spacing w:line="276" w:lineRule="auto"/>
        <w:jc w:val="both"/>
        <w:rPr>
          <w:sz w:val="22"/>
          <w:szCs w:val="22"/>
        </w:rPr>
      </w:pPr>
    </w:p>
    <w:p w:rsidR="001A1702" w:rsidRPr="00F2005E" w:rsidRDefault="006B4416" w:rsidP="00F2005E">
      <w:pPr>
        <w:pStyle w:val="ListParagraph"/>
        <w:numPr>
          <w:ilvl w:val="1"/>
          <w:numId w:val="1"/>
        </w:numPr>
        <w:tabs>
          <w:tab w:val="clear" w:pos="360"/>
        </w:tabs>
        <w:spacing w:after="240" w:line="276" w:lineRule="auto"/>
        <w:ind w:left="0"/>
        <w:jc w:val="both"/>
        <w:rPr>
          <w:b/>
          <w:sz w:val="26"/>
          <w:szCs w:val="26"/>
          <w:u w:val="single"/>
        </w:rPr>
      </w:pPr>
      <w:r w:rsidRPr="00F2005E">
        <w:rPr>
          <w:b/>
          <w:sz w:val="26"/>
          <w:szCs w:val="26"/>
          <w:u w:val="single"/>
        </w:rPr>
        <w:t xml:space="preserve">Nguy cơ  gặp phải các vấn đề hô hấp </w:t>
      </w:r>
      <w:r w:rsidR="0020362B">
        <w:rPr>
          <w:b/>
          <w:sz w:val="26"/>
          <w:szCs w:val="26"/>
          <w:u w:val="single"/>
        </w:rPr>
        <w:t xml:space="preserve">ở </w:t>
      </w:r>
      <w:r w:rsidRPr="00F2005E">
        <w:rPr>
          <w:b/>
          <w:sz w:val="26"/>
          <w:szCs w:val="26"/>
          <w:u w:val="single"/>
        </w:rPr>
        <w:t xml:space="preserve">trẻ mới sinh của các bà mẹ thừa cân </w:t>
      </w:r>
    </w:p>
    <w:p w:rsidR="006B4416" w:rsidRPr="00F2005E" w:rsidRDefault="006B4416" w:rsidP="00F2005E">
      <w:pPr>
        <w:spacing w:after="240" w:line="276" w:lineRule="auto"/>
        <w:jc w:val="both"/>
        <w:rPr>
          <w:sz w:val="26"/>
          <w:szCs w:val="26"/>
        </w:rPr>
      </w:pPr>
      <w:r w:rsidRPr="00F2005E">
        <w:rPr>
          <w:sz w:val="26"/>
          <w:szCs w:val="26"/>
        </w:rPr>
        <w:t xml:space="preserve">Một nghiên cứu mới vửa chỉ ra rằng các trẻ sinh ra từ các bà mẹ thừa cân và béo phì có nguy cơ cao mắc phải các vấn đề liên quan đến hô hấp và thiếu hụt oxy. </w:t>
      </w:r>
    </w:p>
    <w:p w:rsidR="006B4416" w:rsidRPr="00F2005E" w:rsidRDefault="006B4416" w:rsidP="00F2005E">
      <w:pPr>
        <w:spacing w:after="240" w:line="276" w:lineRule="auto"/>
        <w:jc w:val="both"/>
        <w:rPr>
          <w:sz w:val="26"/>
          <w:szCs w:val="26"/>
        </w:rPr>
      </w:pPr>
      <w:r w:rsidRPr="00F2005E">
        <w:rPr>
          <w:sz w:val="26"/>
          <w:szCs w:val="26"/>
        </w:rPr>
        <w:t>Nghiên cứu được tiến hành thông qua phân tích dữ liệu hơn 1.7 triệu trẻ em sinh ra từ năm 1992 đến 2010 tại Thụy Điển. Dữ liệu nghiên cứu bao gồm chiều cao, cân nặng của người mẹ trong giai đoạn sớm của thai kỳ cũng như tình trạng và điểm Apgar</w:t>
      </w:r>
      <w:r w:rsidR="00D21B51" w:rsidRPr="00D21B51">
        <w:rPr>
          <w:sz w:val="26"/>
          <w:szCs w:val="26"/>
        </w:rPr>
        <w:t xml:space="preserve"> </w:t>
      </w:r>
      <w:r w:rsidR="00D21B51" w:rsidRPr="00F2005E">
        <w:rPr>
          <w:sz w:val="26"/>
          <w:szCs w:val="26"/>
        </w:rPr>
        <w:t>của trẻ sơ sinh</w:t>
      </w:r>
      <w:r w:rsidRPr="00F2005E">
        <w:rPr>
          <w:sz w:val="26"/>
          <w:szCs w:val="26"/>
        </w:rPr>
        <w:t>.</w:t>
      </w:r>
    </w:p>
    <w:p w:rsidR="006B4416" w:rsidRPr="00F2005E" w:rsidRDefault="006B4416" w:rsidP="00F2005E">
      <w:pPr>
        <w:spacing w:after="240" w:line="276" w:lineRule="auto"/>
        <w:jc w:val="both"/>
        <w:rPr>
          <w:sz w:val="26"/>
          <w:szCs w:val="26"/>
        </w:rPr>
      </w:pPr>
      <w:r w:rsidRPr="00F2005E">
        <w:rPr>
          <w:sz w:val="26"/>
          <w:szCs w:val="26"/>
        </w:rPr>
        <w:t>Điểm Apgar được sử dụng nhằm đánh giá các yếu tố sinh tồn và sức khỏe của trẻ mới sinh thông qua nhịp tim, nhịp thở, trương lực cơ, màu da và hoạt động phản xạ theo thang điểm từ 0 đến 10. Có rất nhiều nguyên nhân dẫn đến một điểm số Apgar kém, nhưng nguyên nhân thường gặp nhất là do thiếu oxy.</w:t>
      </w:r>
    </w:p>
    <w:p w:rsidR="006B4416" w:rsidRPr="00F2005E" w:rsidRDefault="006B4416" w:rsidP="00F2005E">
      <w:pPr>
        <w:spacing w:after="240" w:line="276" w:lineRule="auto"/>
        <w:jc w:val="both"/>
        <w:rPr>
          <w:sz w:val="26"/>
          <w:szCs w:val="26"/>
        </w:rPr>
      </w:pPr>
      <w:r w:rsidRPr="00F2005E">
        <w:rPr>
          <w:sz w:val="26"/>
          <w:szCs w:val="26"/>
        </w:rPr>
        <w:lastRenderedPageBreak/>
        <w:t>Thông thường có ít hơn 1/1000 trẻ có điểm apgar kém trong khoảng 0-3 ở thời điểm 5 phút sau chào đời, và tỉ lệ này còn thấp hơn nữa ở những trẻ có điểm Apgar từ 0-3 ở thời điểm 10 phút.</w:t>
      </w:r>
    </w:p>
    <w:p w:rsidR="006B4416" w:rsidRPr="00F2005E" w:rsidRDefault="006B4416" w:rsidP="00F2005E">
      <w:pPr>
        <w:spacing w:after="240" w:line="276" w:lineRule="auto"/>
        <w:jc w:val="both"/>
        <w:rPr>
          <w:sz w:val="26"/>
          <w:szCs w:val="26"/>
        </w:rPr>
      </w:pPr>
      <w:r w:rsidRPr="00F2005E">
        <w:rPr>
          <w:sz w:val="26"/>
          <w:szCs w:val="26"/>
        </w:rPr>
        <w:t>So sánh với trẻ sinh ra từ các bà mẹ có cân nặng bình thường, con của các bà mẹ thừa cân có nguy cơ cao hơn 32 % phải mang một số điểm Apgar kém (0-3) tại thời điểm 10 phút sau chào đời.</w:t>
      </w:r>
    </w:p>
    <w:p w:rsidR="006B4416" w:rsidRPr="00F2005E" w:rsidRDefault="006B4416" w:rsidP="00F2005E">
      <w:pPr>
        <w:spacing w:after="240" w:line="276" w:lineRule="auto"/>
        <w:jc w:val="both"/>
        <w:rPr>
          <w:sz w:val="26"/>
          <w:szCs w:val="26"/>
        </w:rPr>
      </w:pPr>
      <w:r w:rsidRPr="00F2005E">
        <w:rPr>
          <w:sz w:val="26"/>
          <w:szCs w:val="26"/>
        </w:rPr>
        <w:t>Tỉ lệ nguy cơ này ở con các bà mẹ béo phì là 57 % và béo phì nghiêm trọng là 80 %.</w:t>
      </w:r>
    </w:p>
    <w:p w:rsidR="006B4416" w:rsidRPr="00F2005E" w:rsidRDefault="006B4416" w:rsidP="00F2005E">
      <w:pPr>
        <w:spacing w:after="240" w:line="276" w:lineRule="auto"/>
        <w:jc w:val="both"/>
        <w:rPr>
          <w:sz w:val="26"/>
          <w:szCs w:val="26"/>
        </w:rPr>
      </w:pPr>
      <w:r w:rsidRPr="00F2005E">
        <w:rPr>
          <w:sz w:val="26"/>
          <w:szCs w:val="26"/>
        </w:rPr>
        <w:t>Nghiên cứu cũng cho thấy nguy cơ bị động kinh ở trẻ cũng tăng lên theo cân nặng của bà mẹ trong thai kỳ; đơn cử, trẻ sinh ra từ các bà mẹ bị béo phì sẽ có nguy cơ gấp đôi bị động kinh so với các bà mẹ có cân nặng bình thường. Kết quả này cũng tương tự với khả năng gặp phải hội chứng hít phân su (</w:t>
      </w:r>
      <w:r w:rsidRPr="00F2005E">
        <w:rPr>
          <w:i/>
          <w:sz w:val="26"/>
          <w:szCs w:val="26"/>
        </w:rPr>
        <w:t>Meconia aspiration syndrome</w:t>
      </w:r>
      <w:r w:rsidRPr="00F2005E">
        <w:rPr>
          <w:sz w:val="26"/>
          <w:szCs w:val="26"/>
        </w:rPr>
        <w:t>), kéo theo các vấn đề nghiêm trọng về đường hô hấp, ngạt thở và chỉ số Apgar kém.</w:t>
      </w:r>
    </w:p>
    <w:p w:rsidR="006B4416" w:rsidRPr="00F2005E" w:rsidRDefault="006B4416" w:rsidP="00F2005E">
      <w:pPr>
        <w:spacing w:after="240" w:line="276" w:lineRule="auto"/>
        <w:jc w:val="both"/>
        <w:rPr>
          <w:sz w:val="26"/>
          <w:szCs w:val="26"/>
        </w:rPr>
      </w:pPr>
      <w:r w:rsidRPr="00F2005E">
        <w:rPr>
          <w:sz w:val="26"/>
          <w:szCs w:val="26"/>
        </w:rPr>
        <w:t>“Hội chứng hít phân su và động kinh có thể mang đến những hậu quả khó lường với trẻ vừa mới chào đời dù phần lớn các trẻ này vẫn có thể sống khỏe mạnh sau này.”, dẫn lời BS. Marie Blomberg thuộc ĐH Linkoping, Thụy Điển.</w:t>
      </w:r>
    </w:p>
    <w:p w:rsidR="006B4416" w:rsidRPr="00F2005E" w:rsidRDefault="006B4416" w:rsidP="00F2005E">
      <w:pPr>
        <w:spacing w:after="240" w:line="276" w:lineRule="auto"/>
        <w:jc w:val="both"/>
        <w:rPr>
          <w:sz w:val="26"/>
          <w:szCs w:val="26"/>
        </w:rPr>
      </w:pPr>
      <w:r w:rsidRPr="00F2005E">
        <w:rPr>
          <w:sz w:val="26"/>
          <w:szCs w:val="26"/>
        </w:rPr>
        <w:t>Các nhà nghiên cứu vẫn chưa tìm ra nguyên nhân thực sự của sự gia tăng các yếu tố nguy cơ này nhưng các số liệu thực tế cho thấy có một mối liên hệ chặt chẽ giữa nguy cơ ở trẻ và cân nặng bà mẹ trong thai kỳ.</w:t>
      </w:r>
    </w:p>
    <w:p w:rsidR="006B4416" w:rsidRPr="00F2005E" w:rsidRDefault="006B4416" w:rsidP="00F2005E">
      <w:pPr>
        <w:spacing w:after="240" w:line="276" w:lineRule="auto"/>
        <w:jc w:val="both"/>
        <w:rPr>
          <w:sz w:val="26"/>
          <w:szCs w:val="26"/>
        </w:rPr>
      </w:pPr>
      <w:r w:rsidRPr="00F2005E">
        <w:rPr>
          <w:sz w:val="26"/>
          <w:szCs w:val="26"/>
        </w:rPr>
        <w:t>Một giả thuyết được đặt ra là có thể tình trạng thừa cân, béo phì ở bà mẹ làm thay đổi các quá trình chuyển hóa, phát sinh tình trạng viêm dẫn đến xáo trộn môi trường nuôi dưỡng bào thai và cuối cùng dẫn đến giảm mức oxy và ảnh hưởng sự phát triển của thai nhi.</w:t>
      </w:r>
    </w:p>
    <w:p w:rsidR="006B4416" w:rsidRPr="00F2005E" w:rsidRDefault="006B4416" w:rsidP="00F2005E">
      <w:pPr>
        <w:spacing w:after="240" w:line="276" w:lineRule="auto"/>
        <w:jc w:val="both"/>
        <w:rPr>
          <w:sz w:val="26"/>
          <w:szCs w:val="26"/>
        </w:rPr>
      </w:pPr>
      <w:r w:rsidRPr="00F2005E">
        <w:rPr>
          <w:sz w:val="26"/>
          <w:szCs w:val="26"/>
        </w:rPr>
        <w:t>Tuy các kết quả nghiên cứu chỉ ra những nguy cơ nghiêm trọng ở trẻ sinh ra từ các bà mẹ thừa cân, nhưng xét trên toàn thể, tỉ lệ trẻ có điểm Apgar kém này chưa đến 3/1000 trẻ sinh ra.</w:t>
      </w:r>
    </w:p>
    <w:p w:rsidR="006B4416" w:rsidRPr="00F2005E" w:rsidRDefault="006B4416" w:rsidP="00F2005E">
      <w:pPr>
        <w:spacing w:after="240" w:line="276" w:lineRule="auto"/>
        <w:jc w:val="both"/>
        <w:rPr>
          <w:sz w:val="26"/>
          <w:szCs w:val="26"/>
        </w:rPr>
      </w:pPr>
      <w:r w:rsidRPr="00F2005E">
        <w:rPr>
          <w:sz w:val="26"/>
          <w:szCs w:val="26"/>
        </w:rPr>
        <w:t>Vì thế khuyến cáo được đưa ra cho các bà mẹ là cố gắng giữ cân nặng của mình trong mức khỏe mạnh, bình thường và khuyến cáo cho các BS là theo dõi sát sao các em bé có nguy cơ cao tro</w:t>
      </w:r>
      <w:r w:rsidR="00D21B51">
        <w:rPr>
          <w:sz w:val="26"/>
          <w:szCs w:val="26"/>
        </w:rPr>
        <w:t>ng quá trình sinh nở</w:t>
      </w:r>
      <w:r w:rsidRPr="00F2005E">
        <w:rPr>
          <w:sz w:val="26"/>
          <w:szCs w:val="26"/>
        </w:rPr>
        <w:t xml:space="preserve">. </w:t>
      </w:r>
    </w:p>
    <w:p w:rsidR="00F2005E" w:rsidRDefault="006B4416" w:rsidP="00F2005E">
      <w:pPr>
        <w:spacing w:after="240" w:line="276" w:lineRule="auto"/>
        <w:jc w:val="both"/>
        <w:rPr>
          <w:sz w:val="26"/>
          <w:szCs w:val="26"/>
        </w:rPr>
      </w:pPr>
      <w:r w:rsidRPr="00F2005E">
        <w:rPr>
          <w:sz w:val="26"/>
          <w:szCs w:val="26"/>
        </w:rPr>
        <w:t>“Điều này có thể làm giảm tỉ lệ thiếu hụt oxy ở trẻ mới chào đời”, BS. Marie Blomberg nói.</w:t>
      </w:r>
    </w:p>
    <w:p w:rsidR="00F2005E" w:rsidRPr="00F2005E" w:rsidRDefault="00F2005E" w:rsidP="00F2005E">
      <w:pPr>
        <w:spacing w:after="240" w:line="276" w:lineRule="auto"/>
        <w:jc w:val="both"/>
        <w:rPr>
          <w:sz w:val="26"/>
          <w:szCs w:val="26"/>
        </w:rPr>
      </w:pPr>
      <w:r w:rsidRPr="00F2005E">
        <w:rPr>
          <w:b/>
          <w:sz w:val="22"/>
          <w:szCs w:val="22"/>
          <w:u w:val="single"/>
        </w:rPr>
        <w:t>Nguồn:</w:t>
      </w:r>
      <w:r w:rsidRPr="00F2005E">
        <w:rPr>
          <w:sz w:val="22"/>
          <w:szCs w:val="22"/>
        </w:rPr>
        <w:t xml:space="preserve"> </w:t>
      </w:r>
      <w:r w:rsidRPr="00F2005E">
        <w:rPr>
          <w:i/>
          <w:color w:val="000000"/>
          <w:sz w:val="22"/>
          <w:szCs w:val="22"/>
        </w:rPr>
        <w:t>Newborns of heavy mothers at risk for breathing problems</w:t>
      </w:r>
      <w:r w:rsidRPr="00F2005E">
        <w:rPr>
          <w:b/>
          <w:bCs/>
          <w:i/>
          <w:color w:val="000000"/>
          <w:sz w:val="22"/>
          <w:szCs w:val="22"/>
        </w:rPr>
        <w:t xml:space="preserve"> | </w:t>
      </w:r>
      <w:r w:rsidRPr="00F2005E">
        <w:rPr>
          <w:i/>
          <w:color w:val="000000"/>
          <w:sz w:val="22"/>
          <w:szCs w:val="22"/>
          <w:u w:val="single"/>
        </w:rPr>
        <w:t>http://www.reuters.com/article/2014/05/20/us-pregnancy-obesity-oxygen-idUSKBN0E024120140520</w:t>
      </w:r>
    </w:p>
    <w:p w:rsidR="00FA3101" w:rsidRPr="0020362B" w:rsidRDefault="000F5445" w:rsidP="00996848">
      <w:pPr>
        <w:pStyle w:val="ListParagraph"/>
        <w:numPr>
          <w:ilvl w:val="0"/>
          <w:numId w:val="1"/>
        </w:numPr>
        <w:tabs>
          <w:tab w:val="left" w:pos="6650"/>
        </w:tabs>
        <w:spacing w:after="240" w:line="276" w:lineRule="auto"/>
        <w:jc w:val="center"/>
        <w:rPr>
          <w:b/>
          <w:color w:val="000000" w:themeColor="text1"/>
          <w:sz w:val="26"/>
          <w:szCs w:val="26"/>
          <w:u w:val="single"/>
        </w:rPr>
      </w:pPr>
      <w:r w:rsidRPr="0020362B">
        <w:rPr>
          <w:b/>
          <w:color w:val="000000" w:themeColor="text1"/>
          <w:sz w:val="26"/>
          <w:szCs w:val="26"/>
          <w:u w:val="single"/>
        </w:rPr>
        <w:lastRenderedPageBreak/>
        <w:t>THUỐC ĐÌNH CHỈ LƯU HÀNH – THUỐC RÚT SỐ ĐĂNG KÝ</w:t>
      </w:r>
    </w:p>
    <w:p w:rsidR="00F2005E" w:rsidRPr="0020362B" w:rsidRDefault="00F2005E" w:rsidP="0020362B">
      <w:pPr>
        <w:pStyle w:val="basicparagraph"/>
        <w:numPr>
          <w:ilvl w:val="1"/>
          <w:numId w:val="1"/>
        </w:numPr>
        <w:shd w:val="clear" w:color="auto" w:fill="FFFFFF"/>
        <w:spacing w:before="0" w:beforeAutospacing="0" w:after="240" w:afterAutospacing="0" w:line="276" w:lineRule="auto"/>
        <w:jc w:val="both"/>
        <w:rPr>
          <w:color w:val="000000" w:themeColor="text1"/>
          <w:sz w:val="26"/>
          <w:szCs w:val="26"/>
        </w:rPr>
      </w:pPr>
      <w:r w:rsidRPr="0020362B">
        <w:rPr>
          <w:b/>
          <w:bCs/>
          <w:i/>
          <w:color w:val="000000" w:themeColor="text1"/>
          <w:sz w:val="26"/>
          <w:szCs w:val="26"/>
          <w:u w:val="single"/>
          <w:lang w:val="en-GB"/>
        </w:rPr>
        <w:t>Tạm dừng sử dụng thuốc Koftazide (ceftazidim),</w:t>
      </w:r>
      <w:r w:rsidR="0020362B">
        <w:rPr>
          <w:bCs/>
          <w:color w:val="000000" w:themeColor="text1"/>
          <w:sz w:val="26"/>
          <w:szCs w:val="26"/>
          <w:lang w:val="en-GB"/>
        </w:rPr>
        <w:t xml:space="preserve"> SĐK:</w:t>
      </w:r>
      <w:r w:rsidRPr="0020362B">
        <w:rPr>
          <w:bCs/>
          <w:color w:val="000000" w:themeColor="text1"/>
          <w:sz w:val="26"/>
          <w:szCs w:val="26"/>
          <w:lang w:val="en-GB"/>
        </w:rPr>
        <w:t>VN-8638-09, số lô: 87213001</w:t>
      </w:r>
    </w:p>
    <w:p w:rsidR="0020362B" w:rsidRPr="0020362B" w:rsidRDefault="00F2005E" w:rsidP="0020362B">
      <w:pPr>
        <w:pStyle w:val="basicparagraph"/>
        <w:shd w:val="clear" w:color="auto" w:fill="FFFFFF"/>
        <w:spacing w:before="0" w:beforeAutospacing="0" w:after="240" w:afterAutospacing="0" w:line="276" w:lineRule="auto"/>
        <w:jc w:val="both"/>
        <w:rPr>
          <w:color w:val="000000" w:themeColor="text1"/>
          <w:sz w:val="26"/>
          <w:szCs w:val="26"/>
          <w:lang w:val="en-GB"/>
        </w:rPr>
      </w:pPr>
      <w:r w:rsidRPr="0020362B">
        <w:rPr>
          <w:color w:val="000000" w:themeColor="text1"/>
          <w:sz w:val="26"/>
          <w:szCs w:val="26"/>
          <w:lang w:val="en-GB"/>
        </w:rPr>
        <w:t>Ngày 10/01/2014, Cục quản lý Dược đã có công văn số 491/QLD-TT yêu cầu tạm ngừng sử dụng thuốc Koftazide (ceftazidim) có SĐK: VN-8638-09, số lô: 87213001.</w:t>
      </w:r>
    </w:p>
    <w:p w:rsidR="0020362B" w:rsidRPr="0020362B" w:rsidRDefault="0020362B" w:rsidP="0020362B">
      <w:pPr>
        <w:pStyle w:val="basicparagraph"/>
        <w:numPr>
          <w:ilvl w:val="1"/>
          <w:numId w:val="1"/>
        </w:numPr>
        <w:shd w:val="clear" w:color="auto" w:fill="FFFFFF"/>
        <w:spacing w:before="0" w:beforeAutospacing="0" w:after="240" w:afterAutospacing="0" w:line="276" w:lineRule="auto"/>
        <w:jc w:val="both"/>
        <w:rPr>
          <w:color w:val="000000" w:themeColor="text1"/>
          <w:sz w:val="26"/>
          <w:szCs w:val="26"/>
        </w:rPr>
      </w:pPr>
      <w:r w:rsidRPr="0020362B">
        <w:rPr>
          <w:b/>
          <w:bCs/>
          <w:i/>
          <w:color w:val="000000" w:themeColor="text1"/>
          <w:spacing w:val="-4"/>
          <w:sz w:val="26"/>
          <w:szCs w:val="26"/>
          <w:u w:val="single"/>
          <w:lang w:val="en-GB"/>
        </w:rPr>
        <w:t>Sử dụng lại thuốc tiêm Hartame (cefotaxim 1g),</w:t>
      </w:r>
      <w:r w:rsidRPr="0020362B">
        <w:rPr>
          <w:bCs/>
          <w:color w:val="000000" w:themeColor="text1"/>
          <w:spacing w:val="-4"/>
          <w:sz w:val="26"/>
          <w:szCs w:val="26"/>
          <w:lang w:val="en-GB"/>
        </w:rPr>
        <w:t xml:space="preserve"> SĐK: VN-8773-09, số lô: 121235</w:t>
      </w:r>
    </w:p>
    <w:p w:rsidR="0020362B" w:rsidRPr="0020362B" w:rsidRDefault="0020362B" w:rsidP="0020362B">
      <w:pPr>
        <w:pStyle w:val="basicparagraph"/>
        <w:shd w:val="clear" w:color="auto" w:fill="FFFFFF"/>
        <w:spacing w:before="0" w:beforeAutospacing="0" w:after="240" w:afterAutospacing="0" w:line="276" w:lineRule="auto"/>
        <w:jc w:val="both"/>
        <w:rPr>
          <w:color w:val="000000" w:themeColor="text1"/>
          <w:sz w:val="26"/>
          <w:szCs w:val="26"/>
        </w:rPr>
      </w:pPr>
      <w:r w:rsidRPr="0020362B">
        <w:rPr>
          <w:color w:val="000000" w:themeColor="text1"/>
          <w:sz w:val="26"/>
          <w:szCs w:val="26"/>
          <w:lang w:val="en-GB"/>
        </w:rPr>
        <w:t xml:space="preserve">Ngày 10/01/2014, Cục Quản lý Dược đã có công văn số 492/QLD-TT gửi Bệnh viện Đa khoa tỉnh Bình Dương và Sở Y tế tỉnh Bình Dương yêu cầu tạm ngừng sử dụng thuốc tiêm Hartame chứa hoạt chất cefotaxim 1g, </w:t>
      </w:r>
      <w:r>
        <w:rPr>
          <w:color w:val="000000" w:themeColor="text1"/>
          <w:sz w:val="26"/>
          <w:szCs w:val="26"/>
          <w:lang w:val="en-GB"/>
        </w:rPr>
        <w:t>SĐK:</w:t>
      </w:r>
      <w:r w:rsidRPr="0020362B">
        <w:rPr>
          <w:color w:val="000000" w:themeColor="text1"/>
          <w:sz w:val="26"/>
          <w:szCs w:val="26"/>
          <w:lang w:val="en-GB"/>
        </w:rPr>
        <w:t xml:space="preserve"> VN-8773-09, </w:t>
      </w:r>
      <w:r>
        <w:rPr>
          <w:color w:val="000000" w:themeColor="text1"/>
          <w:sz w:val="26"/>
          <w:szCs w:val="26"/>
          <w:lang w:val="en-GB"/>
        </w:rPr>
        <w:t xml:space="preserve"> </w:t>
      </w:r>
      <w:r w:rsidRPr="0020362B">
        <w:rPr>
          <w:color w:val="000000" w:themeColor="text1"/>
          <w:sz w:val="26"/>
          <w:szCs w:val="26"/>
          <w:lang w:val="en-GB"/>
        </w:rPr>
        <w:t>số lô: 121235,</w:t>
      </w:r>
      <w:r>
        <w:rPr>
          <w:color w:val="000000" w:themeColor="text1"/>
          <w:sz w:val="26"/>
          <w:szCs w:val="26"/>
          <w:lang w:val="en-GB"/>
        </w:rPr>
        <w:t xml:space="preserve"> </w:t>
      </w:r>
      <w:r w:rsidRPr="0020362B">
        <w:rPr>
          <w:color w:val="000000" w:themeColor="text1"/>
          <w:sz w:val="26"/>
          <w:szCs w:val="26"/>
          <w:lang w:val="en-GB"/>
        </w:rPr>
        <w:t>hạn dùng: 19/06/2015, do công ty Sinochem Ningbo Ltd. (Trung Quốc) sản xuất, công ty JEIL Pharmaceuticals Co., Ltd. đăng ký, công ty cổ phần Dược - Thiết bị Y tế Đà Nẵng (Dapharco) nhập khẩu sau khi xảy ra một số phản ứng có hại của thuốc (ADR) nghi ngờ liên quan đến lô thuốc này.</w:t>
      </w:r>
    </w:p>
    <w:p w:rsidR="00996848" w:rsidRPr="00996848" w:rsidRDefault="0020362B" w:rsidP="0020362B">
      <w:pPr>
        <w:pStyle w:val="basicparagraph"/>
        <w:shd w:val="clear" w:color="auto" w:fill="FFFFFF"/>
        <w:spacing w:before="0" w:beforeAutospacing="0" w:after="240" w:afterAutospacing="0" w:line="276" w:lineRule="auto"/>
        <w:jc w:val="both"/>
        <w:rPr>
          <w:color w:val="000000" w:themeColor="text1"/>
          <w:sz w:val="26"/>
          <w:szCs w:val="26"/>
          <w:u w:val="single"/>
        </w:rPr>
      </w:pPr>
      <w:r w:rsidRPr="0020362B">
        <w:rPr>
          <w:color w:val="000000" w:themeColor="text1"/>
          <w:sz w:val="26"/>
          <w:szCs w:val="26"/>
          <w:lang w:val="en-GB"/>
        </w:rPr>
        <w:t>Sau khi có kết quả nghiệm thuốc cũng như rà soát lại tình hình sử dụng thuốc trên địa bàn, Cục Quản lý Dược đã có công văn số 4488/QLD-TT ngày 25/03/2014 cho phép lưu hành, sử dụng trở lại thuốc tiêm Hartame chứa hoạt chất cefotaxim 1g, số đăng ký: VN-8773-09, số lô: 121235, hạn dùng: 19/06/2015, do công ty Sinochem Ningbo Ltd. (Trung Quốc) sản xuất.</w:t>
      </w:r>
    </w:p>
    <w:p w:rsidR="00FA3101" w:rsidRDefault="00996848" w:rsidP="00EE24C4">
      <w:pPr>
        <w:pStyle w:val="ListParagraph"/>
        <w:ind w:left="0"/>
        <w:jc w:val="center"/>
        <w:rPr>
          <w:sz w:val="28"/>
          <w:szCs w:val="28"/>
        </w:rPr>
      </w:pPr>
      <w:r w:rsidRPr="00996848">
        <w:rPr>
          <w:sz w:val="28"/>
          <w:szCs w:val="28"/>
        </w:rPr>
        <w:sym w:font="Wingdings 2" w:char="F061"/>
      </w:r>
      <w:r w:rsidRPr="00996848">
        <w:rPr>
          <w:sz w:val="28"/>
          <w:szCs w:val="28"/>
        </w:rPr>
        <w:sym w:font="Wingdings 2" w:char="F062"/>
      </w:r>
      <w:r w:rsidRPr="00996848">
        <w:rPr>
          <w:sz w:val="28"/>
          <w:szCs w:val="28"/>
        </w:rPr>
        <w:t>|</w:t>
      </w:r>
      <w:r w:rsidRPr="00996848">
        <w:rPr>
          <w:sz w:val="28"/>
          <w:szCs w:val="28"/>
        </w:rPr>
        <w:sym w:font="Wingdings 2" w:char="F061"/>
      </w:r>
      <w:r w:rsidRPr="00996848">
        <w:rPr>
          <w:sz w:val="28"/>
          <w:szCs w:val="28"/>
        </w:rPr>
        <w:sym w:font="Wingdings 2" w:char="F062"/>
      </w:r>
    </w:p>
    <w:p w:rsidR="0063342E" w:rsidRDefault="0063342E" w:rsidP="00996848">
      <w:pPr>
        <w:pStyle w:val="ListParagraph"/>
        <w:jc w:val="center"/>
        <w:rPr>
          <w:sz w:val="28"/>
          <w:szCs w:val="28"/>
        </w:rPr>
      </w:pPr>
    </w:p>
    <w:p w:rsidR="0063342E" w:rsidRPr="00EE24C4" w:rsidRDefault="0063342E" w:rsidP="00EE24C4">
      <w:pPr>
        <w:rPr>
          <w:b/>
          <w:sz w:val="28"/>
          <w:szCs w:val="28"/>
        </w:rPr>
      </w:pPr>
    </w:p>
    <w:sectPr w:rsidR="0063342E" w:rsidRPr="00EE24C4" w:rsidSect="0063342E">
      <w:footerReference w:type="default" r:id="rId10"/>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DF9" w:rsidRDefault="00993DF9" w:rsidP="00996848">
      <w:r>
        <w:separator/>
      </w:r>
    </w:p>
  </w:endnote>
  <w:endnote w:type="continuationSeparator" w:id="1">
    <w:p w:rsidR="00993DF9" w:rsidRDefault="00993DF9" w:rsidP="009968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7188"/>
      <w:docPartObj>
        <w:docPartGallery w:val="Page Numbers (Bottom of Page)"/>
        <w:docPartUnique/>
      </w:docPartObj>
    </w:sdtPr>
    <w:sdtContent>
      <w:p w:rsidR="00996848" w:rsidRDefault="00996848">
        <w:pPr>
          <w:pStyle w:val="Footer"/>
          <w:jc w:val="center"/>
        </w:pPr>
      </w:p>
      <w:p w:rsidR="00996848" w:rsidRDefault="009B28A1">
        <w:pPr>
          <w:pStyle w:val="Footer"/>
          <w:jc w:val="center"/>
        </w:pPr>
        <w:fldSimple w:instr=" PAGE   \* MERGEFORMAT ">
          <w:r w:rsidR="00FB35A4">
            <w:rPr>
              <w:noProof/>
            </w:rPr>
            <w:t>1</w:t>
          </w:r>
        </w:fldSimple>
      </w:p>
    </w:sdtContent>
  </w:sdt>
  <w:p w:rsidR="00996848" w:rsidRDefault="009968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DF9" w:rsidRDefault="00993DF9" w:rsidP="00996848">
      <w:r>
        <w:separator/>
      </w:r>
    </w:p>
  </w:footnote>
  <w:footnote w:type="continuationSeparator" w:id="1">
    <w:p w:rsidR="00993DF9" w:rsidRDefault="00993DF9" w:rsidP="009968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7FC2"/>
    <w:multiLevelType w:val="hybridMultilevel"/>
    <w:tmpl w:val="08864F1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921D7D"/>
    <w:multiLevelType w:val="hybridMultilevel"/>
    <w:tmpl w:val="26AE33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D2346"/>
    <w:multiLevelType w:val="hybridMultilevel"/>
    <w:tmpl w:val="49FA5D94"/>
    <w:lvl w:ilvl="0" w:tplc="81EA804C">
      <w:start w:val="1"/>
      <w:numFmt w:val="upperRoman"/>
      <w:lvlText w:val="%1."/>
      <w:lvlJc w:val="left"/>
      <w:pPr>
        <w:tabs>
          <w:tab w:val="num" w:pos="720"/>
        </w:tabs>
        <w:ind w:left="720" w:hanging="720"/>
      </w:pPr>
      <w:rPr>
        <w:rFonts w:hint="default"/>
      </w:rPr>
    </w:lvl>
    <w:lvl w:ilvl="1" w:tplc="80BE5842">
      <w:start w:val="1"/>
      <w:numFmt w:val="decimal"/>
      <w:lvlText w:val="%2."/>
      <w:lvlJc w:val="left"/>
      <w:pPr>
        <w:tabs>
          <w:tab w:val="num" w:pos="360"/>
        </w:tabs>
        <w:ind w:left="360" w:hanging="360"/>
      </w:pPr>
      <w:rPr>
        <w:rFonts w:hint="default"/>
        <w:i w:val="0"/>
        <w:color w:val="auto"/>
      </w:rPr>
    </w:lvl>
    <w:lvl w:ilvl="2" w:tplc="0409000F">
      <w:start w:val="1"/>
      <w:numFmt w:val="decimal"/>
      <w:lvlText w:val="%3."/>
      <w:lvlJc w:val="left"/>
      <w:pPr>
        <w:tabs>
          <w:tab w:val="num" w:pos="2340"/>
        </w:tabs>
        <w:ind w:left="2340" w:hanging="360"/>
      </w:pPr>
      <w:rPr>
        <w:rFonts w:hint="default"/>
      </w:rPr>
    </w:lvl>
    <w:lvl w:ilvl="3" w:tplc="6D084B6E">
      <w:start w:val="7"/>
      <w:numFmt w:val="decimal"/>
      <w:lvlText w:val="%4"/>
      <w:lvlJc w:val="left"/>
      <w:pPr>
        <w:tabs>
          <w:tab w:val="num" w:pos="2880"/>
        </w:tabs>
        <w:ind w:left="2880" w:hanging="360"/>
      </w:pPr>
      <w:rPr>
        <w:rFonts w:hint="default"/>
      </w:rPr>
    </w:lvl>
    <w:lvl w:ilvl="4" w:tplc="0AFCE7A6">
      <w:start w:val="3"/>
      <w:numFmt w:val="bullet"/>
      <w:lvlText w:val="-"/>
      <w:lvlJc w:val="left"/>
      <w:pPr>
        <w:ind w:left="3763" w:hanging="360"/>
      </w:pPr>
      <w:rPr>
        <w:rFonts w:ascii="Times New Roman" w:eastAsia="Times New Roman" w:hAnsi="Times New Roman" w:cs="Times New Roman" w:hint="default"/>
      </w:rPr>
    </w:lvl>
    <w:lvl w:ilvl="5" w:tplc="7AD4999E">
      <w:start w:val="1"/>
      <w:numFmt w:val="lowerRoman"/>
      <w:lvlText w:val="%6."/>
      <w:lvlJc w:val="left"/>
      <w:pPr>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4D7984"/>
    <w:multiLevelType w:val="multilevel"/>
    <w:tmpl w:val="7CC8717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3A5B7BED"/>
    <w:multiLevelType w:val="hybridMultilevel"/>
    <w:tmpl w:val="2EA272BC"/>
    <w:lvl w:ilvl="0" w:tplc="81EA804C">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57D81"/>
    <w:multiLevelType w:val="hybridMultilevel"/>
    <w:tmpl w:val="AF6691E4"/>
    <w:lvl w:ilvl="0" w:tplc="EE6AFB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D7A53"/>
    <w:multiLevelType w:val="hybridMultilevel"/>
    <w:tmpl w:val="150A8D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25BC9"/>
    <w:multiLevelType w:val="hybridMultilevel"/>
    <w:tmpl w:val="DCC61B9E"/>
    <w:lvl w:ilvl="0" w:tplc="911C6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41D89"/>
    <w:multiLevelType w:val="hybridMultilevel"/>
    <w:tmpl w:val="AE5EDED0"/>
    <w:lvl w:ilvl="0" w:tplc="86EED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BE4CA2"/>
    <w:multiLevelType w:val="hybridMultilevel"/>
    <w:tmpl w:val="1C16F5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C03B2"/>
    <w:multiLevelType w:val="hybridMultilevel"/>
    <w:tmpl w:val="C980D2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DC69F3"/>
    <w:multiLevelType w:val="hybridMultilevel"/>
    <w:tmpl w:val="5CF2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CE3B7A"/>
    <w:multiLevelType w:val="hybridMultilevel"/>
    <w:tmpl w:val="7396AE16"/>
    <w:lvl w:ilvl="0" w:tplc="39586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3"/>
  </w:num>
  <w:num w:numId="5">
    <w:abstractNumId w:val="11"/>
  </w:num>
  <w:num w:numId="6">
    <w:abstractNumId w:val="9"/>
  </w:num>
  <w:num w:numId="7">
    <w:abstractNumId w:val="10"/>
  </w:num>
  <w:num w:numId="8">
    <w:abstractNumId w:val="1"/>
  </w:num>
  <w:num w:numId="9">
    <w:abstractNumId w:val="6"/>
  </w:num>
  <w:num w:numId="10">
    <w:abstractNumId w:val="4"/>
  </w:num>
  <w:num w:numId="11">
    <w:abstractNumId w:val="5"/>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0"/>
  <w:defaultTabStop w:val="720"/>
  <w:characterSpacingControl w:val="doNotCompress"/>
  <w:footnotePr>
    <w:footnote w:id="0"/>
    <w:footnote w:id="1"/>
  </w:footnotePr>
  <w:endnotePr>
    <w:endnote w:id="0"/>
    <w:endnote w:id="1"/>
  </w:endnotePr>
  <w:compat/>
  <w:rsids>
    <w:rsidRoot w:val="000F5445"/>
    <w:rsid w:val="000606A6"/>
    <w:rsid w:val="000F5445"/>
    <w:rsid w:val="001A1702"/>
    <w:rsid w:val="0020362B"/>
    <w:rsid w:val="00396328"/>
    <w:rsid w:val="00440532"/>
    <w:rsid w:val="004570B8"/>
    <w:rsid w:val="00463323"/>
    <w:rsid w:val="00612683"/>
    <w:rsid w:val="0063342E"/>
    <w:rsid w:val="00676F0E"/>
    <w:rsid w:val="006B4416"/>
    <w:rsid w:val="006E4C3A"/>
    <w:rsid w:val="007078D0"/>
    <w:rsid w:val="007C275B"/>
    <w:rsid w:val="007F19EA"/>
    <w:rsid w:val="008331F7"/>
    <w:rsid w:val="00860EC8"/>
    <w:rsid w:val="00864BD9"/>
    <w:rsid w:val="008B2163"/>
    <w:rsid w:val="00993DF9"/>
    <w:rsid w:val="00996848"/>
    <w:rsid w:val="009B28A1"/>
    <w:rsid w:val="00B85F9D"/>
    <w:rsid w:val="00BF5775"/>
    <w:rsid w:val="00C67F27"/>
    <w:rsid w:val="00D21B51"/>
    <w:rsid w:val="00DC7015"/>
    <w:rsid w:val="00E823D7"/>
    <w:rsid w:val="00EC14FC"/>
    <w:rsid w:val="00EE24C4"/>
    <w:rsid w:val="00F2005E"/>
    <w:rsid w:val="00FA3101"/>
    <w:rsid w:val="00FB35A4"/>
    <w:rsid w:val="00FC3417"/>
    <w:rsid w:val="00FF6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2005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445"/>
    <w:pPr>
      <w:ind w:left="720"/>
      <w:contextualSpacing/>
    </w:pPr>
  </w:style>
  <w:style w:type="character" w:customStyle="1" w:styleId="apple-style-span">
    <w:name w:val="apple-style-span"/>
    <w:basedOn w:val="DefaultParagraphFont"/>
    <w:rsid w:val="000F5445"/>
  </w:style>
  <w:style w:type="paragraph" w:styleId="NormalWeb">
    <w:name w:val="Normal (Web)"/>
    <w:basedOn w:val="Normal"/>
    <w:uiPriority w:val="99"/>
    <w:unhideWhenUsed/>
    <w:rsid w:val="00EC14FC"/>
    <w:pPr>
      <w:spacing w:before="100" w:beforeAutospacing="1" w:after="100" w:afterAutospacing="1"/>
    </w:pPr>
  </w:style>
  <w:style w:type="paragraph" w:styleId="BalloonText">
    <w:name w:val="Balloon Text"/>
    <w:basedOn w:val="Normal"/>
    <w:link w:val="BalloonTextChar"/>
    <w:uiPriority w:val="99"/>
    <w:semiHidden/>
    <w:unhideWhenUsed/>
    <w:rsid w:val="008B2163"/>
    <w:rPr>
      <w:rFonts w:ascii="Tahoma" w:hAnsi="Tahoma" w:cs="Tahoma"/>
      <w:sz w:val="16"/>
      <w:szCs w:val="16"/>
    </w:rPr>
  </w:style>
  <w:style w:type="character" w:customStyle="1" w:styleId="BalloonTextChar">
    <w:name w:val="Balloon Text Char"/>
    <w:basedOn w:val="DefaultParagraphFont"/>
    <w:link w:val="BalloonText"/>
    <w:uiPriority w:val="99"/>
    <w:semiHidden/>
    <w:rsid w:val="008B2163"/>
    <w:rPr>
      <w:rFonts w:ascii="Tahoma" w:eastAsia="Times New Roman" w:hAnsi="Tahoma" w:cs="Tahoma"/>
      <w:sz w:val="16"/>
      <w:szCs w:val="16"/>
    </w:rPr>
  </w:style>
  <w:style w:type="character" w:styleId="Hyperlink">
    <w:name w:val="Hyperlink"/>
    <w:basedOn w:val="DefaultParagraphFont"/>
    <w:uiPriority w:val="99"/>
    <w:unhideWhenUsed/>
    <w:rsid w:val="004570B8"/>
    <w:rPr>
      <w:color w:val="0000FF" w:themeColor="hyperlink"/>
      <w:u w:val="single"/>
    </w:rPr>
  </w:style>
  <w:style w:type="paragraph" w:customStyle="1" w:styleId="basicparagraph">
    <w:name w:val="basicparagraph"/>
    <w:basedOn w:val="Normal"/>
    <w:rsid w:val="00FA3101"/>
    <w:pPr>
      <w:spacing w:before="100" w:beforeAutospacing="1" w:after="100" w:afterAutospacing="1"/>
    </w:pPr>
  </w:style>
  <w:style w:type="paragraph" w:styleId="Header">
    <w:name w:val="header"/>
    <w:basedOn w:val="Normal"/>
    <w:link w:val="HeaderChar"/>
    <w:uiPriority w:val="99"/>
    <w:semiHidden/>
    <w:unhideWhenUsed/>
    <w:rsid w:val="00996848"/>
    <w:pPr>
      <w:tabs>
        <w:tab w:val="center" w:pos="4680"/>
        <w:tab w:val="right" w:pos="9360"/>
      </w:tabs>
    </w:pPr>
  </w:style>
  <w:style w:type="character" w:customStyle="1" w:styleId="HeaderChar">
    <w:name w:val="Header Char"/>
    <w:basedOn w:val="DefaultParagraphFont"/>
    <w:link w:val="Header"/>
    <w:uiPriority w:val="99"/>
    <w:semiHidden/>
    <w:rsid w:val="009968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6848"/>
    <w:pPr>
      <w:tabs>
        <w:tab w:val="center" w:pos="4680"/>
        <w:tab w:val="right" w:pos="9360"/>
      </w:tabs>
    </w:pPr>
  </w:style>
  <w:style w:type="character" w:customStyle="1" w:styleId="FooterChar">
    <w:name w:val="Footer Char"/>
    <w:basedOn w:val="DefaultParagraphFont"/>
    <w:link w:val="Footer"/>
    <w:uiPriority w:val="99"/>
    <w:rsid w:val="00996848"/>
    <w:rPr>
      <w:rFonts w:ascii="Times New Roman" w:eastAsia="Times New Roman" w:hAnsi="Times New Roman" w:cs="Times New Roman"/>
      <w:sz w:val="24"/>
      <w:szCs w:val="24"/>
    </w:rPr>
  </w:style>
  <w:style w:type="table" w:styleId="TableGrid">
    <w:name w:val="Table Grid"/>
    <w:basedOn w:val="TableNormal"/>
    <w:uiPriority w:val="59"/>
    <w:rsid w:val="00864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005E"/>
    <w:rPr>
      <w:rFonts w:ascii="Times New Roman" w:eastAsia="Times New Roman" w:hAnsi="Times New Roman" w:cs="Times New Roman"/>
      <w:b/>
      <w:bCs/>
      <w:kern w:val="36"/>
      <w:sz w:val="48"/>
      <w:szCs w:val="48"/>
    </w:rPr>
  </w:style>
  <w:style w:type="character" w:customStyle="1" w:styleId="apple">
    <w:name w:val="apple"/>
    <w:aliases w:val="style,span,converted,space"/>
    <w:basedOn w:val="DefaultParagraphFont"/>
    <w:rsid w:val="00F2005E"/>
  </w:style>
</w:styles>
</file>

<file path=word/webSettings.xml><?xml version="1.0" encoding="utf-8"?>
<w:webSettings xmlns:r="http://schemas.openxmlformats.org/officeDocument/2006/relationships" xmlns:w="http://schemas.openxmlformats.org/wordprocessingml/2006/main">
  <w:divs>
    <w:div w:id="1856683">
      <w:bodyDiv w:val="1"/>
      <w:marLeft w:val="0"/>
      <w:marRight w:val="0"/>
      <w:marTop w:val="0"/>
      <w:marBottom w:val="0"/>
      <w:divBdr>
        <w:top w:val="none" w:sz="0" w:space="0" w:color="auto"/>
        <w:left w:val="none" w:sz="0" w:space="0" w:color="auto"/>
        <w:bottom w:val="none" w:sz="0" w:space="0" w:color="auto"/>
        <w:right w:val="none" w:sz="0" w:space="0" w:color="auto"/>
      </w:divBdr>
    </w:div>
    <w:div w:id="9455556">
      <w:bodyDiv w:val="1"/>
      <w:marLeft w:val="0"/>
      <w:marRight w:val="0"/>
      <w:marTop w:val="0"/>
      <w:marBottom w:val="0"/>
      <w:divBdr>
        <w:top w:val="none" w:sz="0" w:space="0" w:color="auto"/>
        <w:left w:val="none" w:sz="0" w:space="0" w:color="auto"/>
        <w:bottom w:val="none" w:sz="0" w:space="0" w:color="auto"/>
        <w:right w:val="none" w:sz="0" w:space="0" w:color="auto"/>
      </w:divBdr>
    </w:div>
    <w:div w:id="379743567">
      <w:bodyDiv w:val="1"/>
      <w:marLeft w:val="0"/>
      <w:marRight w:val="0"/>
      <w:marTop w:val="0"/>
      <w:marBottom w:val="0"/>
      <w:divBdr>
        <w:top w:val="none" w:sz="0" w:space="0" w:color="auto"/>
        <w:left w:val="none" w:sz="0" w:space="0" w:color="auto"/>
        <w:bottom w:val="none" w:sz="0" w:space="0" w:color="auto"/>
        <w:right w:val="none" w:sz="0" w:space="0" w:color="auto"/>
      </w:divBdr>
    </w:div>
    <w:div w:id="898322789">
      <w:bodyDiv w:val="1"/>
      <w:marLeft w:val="0"/>
      <w:marRight w:val="0"/>
      <w:marTop w:val="0"/>
      <w:marBottom w:val="0"/>
      <w:divBdr>
        <w:top w:val="none" w:sz="0" w:space="0" w:color="auto"/>
        <w:left w:val="none" w:sz="0" w:space="0" w:color="auto"/>
        <w:bottom w:val="none" w:sz="0" w:space="0" w:color="auto"/>
        <w:right w:val="none" w:sz="0" w:space="0" w:color="auto"/>
      </w:divBdr>
    </w:div>
    <w:div w:id="979265299">
      <w:bodyDiv w:val="1"/>
      <w:marLeft w:val="0"/>
      <w:marRight w:val="0"/>
      <w:marTop w:val="0"/>
      <w:marBottom w:val="0"/>
      <w:divBdr>
        <w:top w:val="none" w:sz="0" w:space="0" w:color="auto"/>
        <w:left w:val="none" w:sz="0" w:space="0" w:color="auto"/>
        <w:bottom w:val="none" w:sz="0" w:space="0" w:color="auto"/>
        <w:right w:val="none" w:sz="0" w:space="0" w:color="auto"/>
      </w:divBdr>
    </w:div>
    <w:div w:id="1247350315">
      <w:bodyDiv w:val="1"/>
      <w:marLeft w:val="0"/>
      <w:marRight w:val="0"/>
      <w:marTop w:val="0"/>
      <w:marBottom w:val="0"/>
      <w:divBdr>
        <w:top w:val="none" w:sz="0" w:space="0" w:color="auto"/>
        <w:left w:val="none" w:sz="0" w:space="0" w:color="auto"/>
        <w:bottom w:val="none" w:sz="0" w:space="0" w:color="auto"/>
        <w:right w:val="none" w:sz="0" w:space="0" w:color="auto"/>
      </w:divBdr>
    </w:div>
    <w:div w:id="1415860184">
      <w:bodyDiv w:val="1"/>
      <w:marLeft w:val="0"/>
      <w:marRight w:val="0"/>
      <w:marTop w:val="0"/>
      <w:marBottom w:val="0"/>
      <w:divBdr>
        <w:top w:val="none" w:sz="0" w:space="0" w:color="auto"/>
        <w:left w:val="none" w:sz="0" w:space="0" w:color="auto"/>
        <w:bottom w:val="none" w:sz="0" w:space="0" w:color="auto"/>
        <w:right w:val="none" w:sz="0" w:space="0" w:color="auto"/>
      </w:divBdr>
    </w:div>
    <w:div w:id="1886137592">
      <w:bodyDiv w:val="1"/>
      <w:marLeft w:val="0"/>
      <w:marRight w:val="0"/>
      <w:marTop w:val="0"/>
      <w:marBottom w:val="0"/>
      <w:divBdr>
        <w:top w:val="none" w:sz="0" w:space="0" w:color="auto"/>
        <w:left w:val="none" w:sz="0" w:space="0" w:color="auto"/>
        <w:bottom w:val="none" w:sz="0" w:space="0" w:color="auto"/>
        <w:right w:val="none" w:sz="0" w:space="0" w:color="auto"/>
      </w:divBdr>
    </w:div>
    <w:div w:id="2109422922">
      <w:bodyDiv w:val="1"/>
      <w:marLeft w:val="0"/>
      <w:marRight w:val="0"/>
      <w:marTop w:val="0"/>
      <w:marBottom w:val="0"/>
      <w:divBdr>
        <w:top w:val="none" w:sz="0" w:space="0" w:color="auto"/>
        <w:left w:val="none" w:sz="0" w:space="0" w:color="auto"/>
        <w:bottom w:val="none" w:sz="0" w:space="0" w:color="auto"/>
        <w:right w:val="none" w:sz="0" w:space="0" w:color="auto"/>
      </w:divBdr>
    </w:div>
    <w:div w:id="21289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dscape.com/viewarticle/826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7FCF-E19B-427D-BAE5-4DC01115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CH2</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AVENIS</dc:creator>
  <cp:keywords/>
  <dc:description/>
  <cp:lastModifiedBy>Unknown User</cp:lastModifiedBy>
  <cp:revision>3</cp:revision>
  <cp:lastPrinted>2014-06-17T08:24:00Z</cp:lastPrinted>
  <dcterms:created xsi:type="dcterms:W3CDTF">2014-07-24T07:00:00Z</dcterms:created>
  <dcterms:modified xsi:type="dcterms:W3CDTF">2014-07-24T07:01:00Z</dcterms:modified>
</cp:coreProperties>
</file>